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446F" w14:textId="07F4CC63" w:rsidR="00B541CA" w:rsidRPr="00102B70" w:rsidRDefault="00F42363" w:rsidP="00BF178C">
      <w:pPr>
        <w:spacing w:before="50" w:after="50"/>
        <w:ind w:left="1701" w:right="1701" w:firstLine="0"/>
        <w:jc w:val="center"/>
        <w:rPr>
          <w:rFonts w:ascii="Garamond" w:hAnsi="Garamond"/>
          <w:b/>
        </w:rPr>
      </w:pPr>
      <w:r w:rsidRPr="00102B70">
        <w:rPr>
          <w:rFonts w:ascii="Garamond" w:hAnsi="Garamond"/>
          <w:b/>
        </w:rPr>
        <w:t>ARBITRAGEM E ORDEM PÚBLICA ECONÔMICA</w:t>
      </w:r>
    </w:p>
    <w:p w14:paraId="4E9D4BC2" w14:textId="0FA872F2" w:rsidR="00473418" w:rsidRDefault="00A5098C" w:rsidP="00102B70">
      <w:pPr>
        <w:ind w:firstLine="0"/>
        <w:jc w:val="center"/>
        <w:rPr>
          <w:rFonts w:ascii="Garamond" w:hAnsi="Garamond"/>
          <w:b/>
          <w:bCs/>
        </w:rPr>
      </w:pPr>
      <w:proofErr w:type="spellStart"/>
      <w:r w:rsidRPr="00102B70">
        <w:rPr>
          <w:rFonts w:ascii="Garamond" w:hAnsi="Garamond"/>
          <w:b/>
          <w:bCs/>
        </w:rPr>
        <w:t>Arbitration</w:t>
      </w:r>
      <w:proofErr w:type="spellEnd"/>
      <w:r w:rsidRPr="00102B70">
        <w:rPr>
          <w:rFonts w:ascii="Garamond" w:hAnsi="Garamond"/>
          <w:b/>
          <w:bCs/>
        </w:rPr>
        <w:t xml:space="preserve"> </w:t>
      </w:r>
      <w:proofErr w:type="spellStart"/>
      <w:r w:rsidRPr="00102B70">
        <w:rPr>
          <w:rFonts w:ascii="Garamond" w:hAnsi="Garamond"/>
          <w:b/>
          <w:bCs/>
        </w:rPr>
        <w:t>and</w:t>
      </w:r>
      <w:proofErr w:type="spellEnd"/>
      <w:r w:rsidRPr="00102B70">
        <w:rPr>
          <w:rFonts w:ascii="Garamond" w:hAnsi="Garamond"/>
          <w:b/>
          <w:bCs/>
        </w:rPr>
        <w:t xml:space="preserve"> </w:t>
      </w:r>
      <w:proofErr w:type="spellStart"/>
      <w:r w:rsidRPr="00102B70">
        <w:rPr>
          <w:rFonts w:ascii="Garamond" w:hAnsi="Garamond"/>
          <w:b/>
          <w:bCs/>
        </w:rPr>
        <w:t>economic</w:t>
      </w:r>
      <w:proofErr w:type="spellEnd"/>
      <w:r w:rsidRPr="00102B70">
        <w:rPr>
          <w:rFonts w:ascii="Garamond" w:hAnsi="Garamond"/>
          <w:b/>
          <w:bCs/>
        </w:rPr>
        <w:t xml:space="preserve"> </w:t>
      </w:r>
      <w:proofErr w:type="spellStart"/>
      <w:r w:rsidRPr="00102B70">
        <w:rPr>
          <w:rFonts w:ascii="Garamond" w:hAnsi="Garamond"/>
          <w:b/>
          <w:bCs/>
        </w:rPr>
        <w:t>public</w:t>
      </w:r>
      <w:proofErr w:type="spellEnd"/>
      <w:r w:rsidRPr="00102B70">
        <w:rPr>
          <w:rFonts w:ascii="Garamond" w:hAnsi="Garamond"/>
          <w:b/>
          <w:bCs/>
        </w:rPr>
        <w:t xml:space="preserve"> </w:t>
      </w:r>
      <w:proofErr w:type="spellStart"/>
      <w:r w:rsidRPr="00102B70">
        <w:rPr>
          <w:rFonts w:ascii="Garamond" w:hAnsi="Garamond"/>
          <w:b/>
          <w:bCs/>
        </w:rPr>
        <w:t>order</w:t>
      </w:r>
      <w:proofErr w:type="spellEnd"/>
    </w:p>
    <w:p w14:paraId="1037EDE6" w14:textId="77777777" w:rsidR="00102B70" w:rsidRPr="00102B70" w:rsidRDefault="00102B70" w:rsidP="00102B70">
      <w:pPr>
        <w:ind w:firstLine="0"/>
        <w:jc w:val="center"/>
        <w:rPr>
          <w:rFonts w:ascii="Garamond" w:hAnsi="Garamond"/>
          <w:b/>
          <w:bCs/>
        </w:rPr>
      </w:pPr>
    </w:p>
    <w:p w14:paraId="1402F142" w14:textId="79C715E6" w:rsidR="00FA10AE" w:rsidRPr="00102B70" w:rsidRDefault="00FA10AE" w:rsidP="00FA10AE">
      <w:pPr>
        <w:ind w:firstLine="0"/>
        <w:jc w:val="right"/>
        <w:rPr>
          <w:rFonts w:ascii="Garamond" w:hAnsi="Garamond"/>
        </w:rPr>
      </w:pPr>
      <w:r w:rsidRPr="00102B70">
        <w:rPr>
          <w:rFonts w:ascii="Garamond" w:hAnsi="Garamond"/>
        </w:rPr>
        <w:t>Fábio da Silva Veiga</w:t>
      </w:r>
      <w:r w:rsidRPr="00102B70">
        <w:rPr>
          <w:rStyle w:val="Refdenotaderodap"/>
          <w:rFonts w:ascii="Garamond" w:hAnsi="Garamond"/>
        </w:rPr>
        <w:footnoteReference w:id="1"/>
      </w:r>
    </w:p>
    <w:p w14:paraId="5A330FFC" w14:textId="3E16FD76" w:rsidR="00FA10AE" w:rsidRPr="00102B70" w:rsidRDefault="00FA10AE" w:rsidP="00FA10AE">
      <w:pPr>
        <w:ind w:firstLine="0"/>
        <w:jc w:val="right"/>
        <w:rPr>
          <w:rFonts w:ascii="Garamond" w:hAnsi="Garamond"/>
        </w:rPr>
      </w:pPr>
      <w:r w:rsidRPr="00102B70">
        <w:rPr>
          <w:rFonts w:ascii="Garamond" w:hAnsi="Garamond"/>
        </w:rPr>
        <w:t xml:space="preserve">João Otávio </w:t>
      </w:r>
      <w:proofErr w:type="spellStart"/>
      <w:r w:rsidRPr="00102B70">
        <w:rPr>
          <w:rFonts w:ascii="Garamond" w:hAnsi="Garamond"/>
        </w:rPr>
        <w:t>Bacchi</w:t>
      </w:r>
      <w:proofErr w:type="spellEnd"/>
      <w:r w:rsidRPr="00102B70">
        <w:rPr>
          <w:rFonts w:ascii="Garamond" w:hAnsi="Garamond"/>
        </w:rPr>
        <w:t xml:space="preserve"> </w:t>
      </w:r>
      <w:proofErr w:type="spellStart"/>
      <w:r w:rsidRPr="00102B70">
        <w:rPr>
          <w:rFonts w:ascii="Garamond" w:hAnsi="Garamond"/>
        </w:rPr>
        <w:t>Gutinieki</w:t>
      </w:r>
      <w:proofErr w:type="spellEnd"/>
      <w:r w:rsidRPr="00102B70">
        <w:rPr>
          <w:rStyle w:val="Refdenotaderodap"/>
          <w:rFonts w:ascii="Garamond" w:hAnsi="Garamond"/>
        </w:rPr>
        <w:footnoteReference w:id="2"/>
      </w:r>
    </w:p>
    <w:p w14:paraId="00000006" w14:textId="548E976A" w:rsidR="00103C5A" w:rsidRDefault="00103C5A" w:rsidP="00102B70">
      <w:pPr>
        <w:spacing w:line="240" w:lineRule="auto"/>
        <w:ind w:firstLine="0"/>
        <w:rPr>
          <w:rFonts w:ascii="Garamond" w:hAnsi="Garamond"/>
          <w:b/>
        </w:rPr>
      </w:pPr>
    </w:p>
    <w:p w14:paraId="192FA774" w14:textId="605490E2" w:rsidR="00102B70" w:rsidRPr="00102B70" w:rsidRDefault="00102B70" w:rsidP="00102B70">
      <w:pPr>
        <w:spacing w:before="120" w:after="120" w:line="240" w:lineRule="auto"/>
        <w:ind w:firstLine="0"/>
        <w:contextualSpacing/>
        <w:rPr>
          <w:rFonts w:ascii="Garamond" w:hAnsi="Garamond"/>
          <w:bCs/>
        </w:rPr>
      </w:pPr>
      <w:r w:rsidRPr="00102B70">
        <w:rPr>
          <w:rFonts w:ascii="Garamond" w:hAnsi="Garamond"/>
          <w:b/>
        </w:rPr>
        <w:t xml:space="preserve">Sumário: </w:t>
      </w:r>
      <w:r w:rsidRPr="00102B70">
        <w:rPr>
          <w:rFonts w:ascii="Garamond" w:hAnsi="Garamond"/>
          <w:bCs/>
        </w:rPr>
        <w:t xml:space="preserve">1. Constituição Econômica espanhola; 2. Constituição Econômica brasileira; 3. </w:t>
      </w:r>
      <w:r>
        <w:rPr>
          <w:rFonts w:ascii="Garamond" w:hAnsi="Garamond"/>
          <w:bCs/>
        </w:rPr>
        <w:t>Caso</w:t>
      </w:r>
      <w:r w:rsidRPr="00102B70">
        <w:rPr>
          <w:rFonts w:ascii="Garamond" w:hAnsi="Garamond"/>
          <w:bCs/>
        </w:rPr>
        <w:t xml:space="preserve"> REPOS I REPÀS, S.L. </w:t>
      </w:r>
      <w:r w:rsidRPr="00102B70">
        <w:rPr>
          <w:rFonts w:ascii="Garamond" w:hAnsi="Garamond"/>
          <w:bCs/>
          <w:i/>
          <w:iCs/>
        </w:rPr>
        <w:t>vs.</w:t>
      </w:r>
      <w:r w:rsidRPr="00102B70">
        <w:rPr>
          <w:rFonts w:ascii="Garamond" w:hAnsi="Garamond"/>
          <w:bCs/>
        </w:rPr>
        <w:t xml:space="preserve"> BBVA (STSJ M 1286/2015); 4. Ordem pública e suas manifestações; 5. Arbitragem e ordem pública; Considerações Finais.</w:t>
      </w:r>
    </w:p>
    <w:p w14:paraId="7F2D29C5" w14:textId="77777777" w:rsidR="00102B70" w:rsidRPr="00102B70" w:rsidRDefault="00102B70" w:rsidP="00102B70">
      <w:pPr>
        <w:spacing w:before="120" w:after="120" w:line="240" w:lineRule="auto"/>
        <w:ind w:firstLine="0"/>
        <w:contextualSpacing/>
        <w:rPr>
          <w:rFonts w:ascii="Garamond" w:hAnsi="Garamond"/>
          <w:b/>
        </w:rPr>
      </w:pPr>
    </w:p>
    <w:p w14:paraId="00000008" w14:textId="57C43BE0" w:rsidR="00103C5A" w:rsidRPr="00102B70" w:rsidRDefault="00981449" w:rsidP="00102B70">
      <w:pPr>
        <w:spacing w:line="240" w:lineRule="auto"/>
        <w:ind w:firstLine="0"/>
        <w:contextualSpacing/>
        <w:rPr>
          <w:rFonts w:ascii="Garamond" w:hAnsi="Garamond"/>
        </w:rPr>
      </w:pPr>
      <w:r w:rsidRPr="00102B70">
        <w:rPr>
          <w:rFonts w:ascii="Garamond" w:hAnsi="Garamond"/>
          <w:b/>
        </w:rPr>
        <w:t xml:space="preserve">Resumo: </w:t>
      </w:r>
      <w:r w:rsidRPr="00102B70">
        <w:rPr>
          <w:rFonts w:ascii="Garamond" w:hAnsi="Garamond"/>
        </w:rPr>
        <w:t xml:space="preserve">O presente trabalho visa apresentar reflexões iniciais sobre </w:t>
      </w:r>
      <w:r w:rsidR="00016B88" w:rsidRPr="00102B70">
        <w:rPr>
          <w:rFonts w:ascii="Garamond" w:hAnsi="Garamond"/>
        </w:rPr>
        <w:t>a relação entre arbitragem e Direito Econômico</w:t>
      </w:r>
      <w:r w:rsidRPr="00102B70">
        <w:rPr>
          <w:rFonts w:ascii="Garamond" w:hAnsi="Garamond"/>
        </w:rPr>
        <w:t>. Assim, se caracteriza</w:t>
      </w:r>
      <w:r w:rsidR="00C41593" w:rsidRPr="00102B70">
        <w:rPr>
          <w:rFonts w:ascii="Garamond" w:hAnsi="Garamond"/>
        </w:rPr>
        <w:t xml:space="preserve"> </w:t>
      </w:r>
      <w:r w:rsidRPr="00102B70">
        <w:rPr>
          <w:rFonts w:ascii="Garamond" w:hAnsi="Garamond"/>
        </w:rPr>
        <w:t xml:space="preserve">como um estudo </w:t>
      </w:r>
      <w:r w:rsidR="00C267C0" w:rsidRPr="00102B70">
        <w:rPr>
          <w:rFonts w:ascii="Garamond" w:hAnsi="Garamond"/>
        </w:rPr>
        <w:t xml:space="preserve">doutrinário, jurisprudencial e </w:t>
      </w:r>
      <w:r w:rsidRPr="00102B70">
        <w:rPr>
          <w:rFonts w:ascii="Garamond" w:hAnsi="Garamond"/>
        </w:rPr>
        <w:t>de caso</w:t>
      </w:r>
      <w:r w:rsidR="00016B88" w:rsidRPr="00102B70">
        <w:rPr>
          <w:rFonts w:ascii="Garamond" w:hAnsi="Garamond"/>
        </w:rPr>
        <w:t xml:space="preserve"> que </w:t>
      </w:r>
      <w:r w:rsidR="00C41593" w:rsidRPr="00102B70">
        <w:rPr>
          <w:rFonts w:ascii="Garamond" w:hAnsi="Garamond"/>
        </w:rPr>
        <w:t xml:space="preserve">analisa </w:t>
      </w:r>
      <w:r w:rsidR="00016B88" w:rsidRPr="00102B70">
        <w:rPr>
          <w:rFonts w:ascii="Garamond" w:hAnsi="Garamond"/>
        </w:rPr>
        <w:t xml:space="preserve">a </w:t>
      </w:r>
      <w:r w:rsidR="007A2C25" w:rsidRPr="00102B70">
        <w:rPr>
          <w:rFonts w:ascii="Garamond" w:hAnsi="Garamond"/>
        </w:rPr>
        <w:t xml:space="preserve">aplicação do conceito da </w:t>
      </w:r>
      <w:r w:rsidR="00016B88" w:rsidRPr="00102B70">
        <w:rPr>
          <w:rFonts w:ascii="Garamond" w:hAnsi="Garamond"/>
        </w:rPr>
        <w:t>ordem pública econômica</w:t>
      </w:r>
      <w:r w:rsidR="007A2C25" w:rsidRPr="00102B70">
        <w:rPr>
          <w:rFonts w:ascii="Garamond" w:hAnsi="Garamond"/>
        </w:rPr>
        <w:t xml:space="preserve"> no ordenamento jurídico espanhol e brasileiro</w:t>
      </w:r>
      <w:r w:rsidRPr="00102B70">
        <w:rPr>
          <w:rFonts w:ascii="Garamond" w:hAnsi="Garamond"/>
        </w:rPr>
        <w:t xml:space="preserve">. </w:t>
      </w:r>
      <w:r w:rsidR="007A2C25" w:rsidRPr="00102B70">
        <w:rPr>
          <w:rFonts w:ascii="Garamond" w:hAnsi="Garamond"/>
        </w:rPr>
        <w:t xml:space="preserve">Após as análises, percebe-se que bom emprego do conceito </w:t>
      </w:r>
      <w:r w:rsidR="00016B88" w:rsidRPr="00102B70">
        <w:rPr>
          <w:rFonts w:ascii="Garamond" w:hAnsi="Garamond"/>
        </w:rPr>
        <w:t xml:space="preserve">ordem pública econômica </w:t>
      </w:r>
      <w:r w:rsidR="007A2C25" w:rsidRPr="00102B70">
        <w:rPr>
          <w:rFonts w:ascii="Garamond" w:hAnsi="Garamond"/>
        </w:rPr>
        <w:t>não se circunscreve apenas aos assuntos</w:t>
      </w:r>
      <w:r w:rsidR="00016B88" w:rsidRPr="00102B70">
        <w:rPr>
          <w:rFonts w:ascii="Garamond" w:hAnsi="Garamond"/>
        </w:rPr>
        <w:t xml:space="preserve"> d</w:t>
      </w:r>
      <w:r w:rsidR="007A2C25" w:rsidRPr="00102B70">
        <w:rPr>
          <w:rFonts w:ascii="Garamond" w:hAnsi="Garamond"/>
        </w:rPr>
        <w:t>o</w:t>
      </w:r>
      <w:r w:rsidR="00016B88" w:rsidRPr="00102B70">
        <w:rPr>
          <w:rFonts w:ascii="Garamond" w:hAnsi="Garamond"/>
        </w:rPr>
        <w:t xml:space="preserve"> direito econômico, </w:t>
      </w:r>
      <w:r w:rsidR="007A2C25" w:rsidRPr="00102B70">
        <w:rPr>
          <w:rFonts w:ascii="Garamond" w:hAnsi="Garamond"/>
        </w:rPr>
        <w:t>mas, traz outras soluções no campo do direito privado, como</w:t>
      </w:r>
      <w:r w:rsidR="00016B88" w:rsidRPr="00102B70">
        <w:rPr>
          <w:rFonts w:ascii="Garamond" w:hAnsi="Garamond"/>
        </w:rPr>
        <w:t xml:space="preserve"> </w:t>
      </w:r>
      <w:r w:rsidR="007A2C25" w:rsidRPr="00102B70">
        <w:rPr>
          <w:rFonts w:ascii="Garamond" w:hAnsi="Garamond"/>
        </w:rPr>
        <w:t xml:space="preserve">os deveres de diligência, lealdade e informação, expressões do </w:t>
      </w:r>
      <w:r w:rsidR="00972E43" w:rsidRPr="00102B70">
        <w:rPr>
          <w:rFonts w:ascii="Garamond" w:hAnsi="Garamond"/>
        </w:rPr>
        <w:t>dever de boa-fé contratual</w:t>
      </w:r>
      <w:r w:rsidR="00016B88" w:rsidRPr="00102B70">
        <w:rPr>
          <w:rFonts w:ascii="Garamond" w:hAnsi="Garamond"/>
        </w:rPr>
        <w:t>. Disto, vislumbra-se a possibilidade de se conceber um conceito próprio de ordem pública econômica no Brasil, considerando as normas da Constituição Econômica que se qualifiquem como normas de ordem pública</w:t>
      </w:r>
      <w:r w:rsidR="007A2C25" w:rsidRPr="00102B70">
        <w:rPr>
          <w:rFonts w:ascii="Garamond" w:hAnsi="Garamond"/>
        </w:rPr>
        <w:t xml:space="preserve"> no âmbito do </w:t>
      </w:r>
      <w:r w:rsidR="000C7B2A" w:rsidRPr="00102B70">
        <w:rPr>
          <w:rFonts w:ascii="Garamond" w:hAnsi="Garamond"/>
        </w:rPr>
        <w:t xml:space="preserve">direito privado, em especial </w:t>
      </w:r>
      <w:r w:rsidR="009A573E" w:rsidRPr="00102B70">
        <w:rPr>
          <w:rFonts w:ascii="Garamond" w:hAnsi="Garamond"/>
        </w:rPr>
        <w:t>n</w:t>
      </w:r>
      <w:r w:rsidR="000C7B2A" w:rsidRPr="00102B70">
        <w:rPr>
          <w:rFonts w:ascii="Garamond" w:hAnsi="Garamond"/>
        </w:rPr>
        <w:t xml:space="preserve">o </w:t>
      </w:r>
      <w:r w:rsidR="007A2C25" w:rsidRPr="00102B70">
        <w:rPr>
          <w:rFonts w:ascii="Garamond" w:hAnsi="Garamond"/>
        </w:rPr>
        <w:t>direito arbitral</w:t>
      </w:r>
      <w:r w:rsidRPr="00102B70">
        <w:rPr>
          <w:rFonts w:ascii="Garamond" w:hAnsi="Garamond"/>
        </w:rPr>
        <w:t>.</w:t>
      </w:r>
    </w:p>
    <w:p w14:paraId="00000009" w14:textId="256CA6B9" w:rsidR="00103C5A" w:rsidRPr="00102B70" w:rsidRDefault="00981449" w:rsidP="00102B70">
      <w:pPr>
        <w:spacing w:line="240" w:lineRule="auto"/>
        <w:ind w:firstLine="0"/>
        <w:rPr>
          <w:rFonts w:ascii="Garamond" w:hAnsi="Garamond"/>
        </w:rPr>
      </w:pPr>
      <w:r w:rsidRPr="00102B70">
        <w:rPr>
          <w:rFonts w:ascii="Garamond" w:hAnsi="Garamond"/>
          <w:b/>
        </w:rPr>
        <w:t>Palavras-chave:</w:t>
      </w:r>
      <w:r w:rsidRPr="00102B70">
        <w:rPr>
          <w:rFonts w:ascii="Garamond" w:hAnsi="Garamond"/>
        </w:rPr>
        <w:t xml:space="preserve"> </w:t>
      </w:r>
      <w:r w:rsidR="00016B88" w:rsidRPr="00102B70">
        <w:rPr>
          <w:rFonts w:ascii="Garamond" w:hAnsi="Garamond"/>
        </w:rPr>
        <w:t>Ordem pública</w:t>
      </w:r>
      <w:r w:rsidR="009A573E" w:rsidRPr="00102B70">
        <w:rPr>
          <w:rFonts w:ascii="Garamond" w:hAnsi="Garamond"/>
        </w:rPr>
        <w:t xml:space="preserve"> econômica; </w:t>
      </w:r>
      <w:r w:rsidR="00972E43" w:rsidRPr="00102B70">
        <w:rPr>
          <w:rFonts w:ascii="Garamond" w:hAnsi="Garamond"/>
        </w:rPr>
        <w:t>Constituição Econômica</w:t>
      </w:r>
      <w:r w:rsidR="009A573E" w:rsidRPr="00102B70">
        <w:rPr>
          <w:rFonts w:ascii="Garamond" w:hAnsi="Garamond"/>
        </w:rPr>
        <w:t>;</w:t>
      </w:r>
      <w:r w:rsidRPr="00102B70">
        <w:rPr>
          <w:rFonts w:ascii="Garamond" w:hAnsi="Garamond"/>
        </w:rPr>
        <w:t xml:space="preserve"> </w:t>
      </w:r>
      <w:r w:rsidR="00972E43" w:rsidRPr="00102B70">
        <w:rPr>
          <w:rFonts w:ascii="Garamond" w:hAnsi="Garamond"/>
        </w:rPr>
        <w:t>Arbitragem</w:t>
      </w:r>
      <w:r w:rsidRPr="00102B70">
        <w:rPr>
          <w:rFonts w:ascii="Garamond" w:hAnsi="Garamond"/>
        </w:rPr>
        <w:t xml:space="preserve">. </w:t>
      </w:r>
    </w:p>
    <w:p w14:paraId="0000000A" w14:textId="77777777" w:rsidR="00103C5A" w:rsidRPr="00102B70" w:rsidRDefault="00103C5A" w:rsidP="00102B70">
      <w:pPr>
        <w:spacing w:line="240" w:lineRule="auto"/>
        <w:ind w:firstLine="0"/>
        <w:rPr>
          <w:rFonts w:ascii="Garamond" w:hAnsi="Garamond"/>
          <w:bCs/>
        </w:rPr>
      </w:pPr>
    </w:p>
    <w:p w14:paraId="0000000D" w14:textId="07EB1B9F" w:rsidR="00103C5A" w:rsidRPr="00102B70" w:rsidRDefault="009A573E" w:rsidP="00102B70">
      <w:pPr>
        <w:spacing w:line="240" w:lineRule="auto"/>
        <w:ind w:firstLine="0"/>
        <w:rPr>
          <w:rFonts w:ascii="Garamond" w:hAnsi="Garamond"/>
          <w:bCs/>
          <w:lang w:val="en-GB"/>
        </w:rPr>
      </w:pPr>
      <w:proofErr w:type="spellStart"/>
      <w:r w:rsidRPr="00102B70">
        <w:rPr>
          <w:rFonts w:ascii="Garamond" w:hAnsi="Garamond"/>
          <w:b/>
          <w:lang w:val="it-IT"/>
        </w:rPr>
        <w:t>Abstract</w:t>
      </w:r>
      <w:proofErr w:type="spellEnd"/>
      <w:r w:rsidRPr="00102B70">
        <w:rPr>
          <w:rFonts w:ascii="Garamond" w:hAnsi="Garamond"/>
          <w:b/>
          <w:lang w:val="it-IT"/>
        </w:rPr>
        <w:t>:</w:t>
      </w:r>
      <w:r w:rsidRPr="00102B70">
        <w:rPr>
          <w:rFonts w:ascii="Garamond" w:hAnsi="Garamond"/>
          <w:bCs/>
          <w:lang w:val="it-IT"/>
        </w:rPr>
        <w:t xml:space="preserve"> </w:t>
      </w:r>
      <w:r w:rsidRPr="00102B70">
        <w:rPr>
          <w:rFonts w:ascii="Garamond" w:hAnsi="Garamond"/>
          <w:bCs/>
          <w:lang w:val="en-GB"/>
        </w:rPr>
        <w:t xml:space="preserve">This paper aims to present recent reflections on the </w:t>
      </w:r>
      <w:r w:rsidR="0094310E" w:rsidRPr="00102B70">
        <w:rPr>
          <w:rFonts w:ascii="Garamond" w:hAnsi="Garamond"/>
          <w:bCs/>
          <w:lang w:val="en-GB"/>
        </w:rPr>
        <w:t>correlation</w:t>
      </w:r>
      <w:r w:rsidRPr="00102B70">
        <w:rPr>
          <w:rFonts w:ascii="Garamond" w:hAnsi="Garamond"/>
          <w:bCs/>
          <w:lang w:val="en-GB"/>
        </w:rPr>
        <w:t xml:space="preserve"> between arbitration and Economic Law. Thus, you can use it as a doctrinal, jurisprudential and case study that analyses the application of the concept of economic public order in the legal and Brazilian order. After the analysis, </w:t>
      </w:r>
      <w:r w:rsidR="0094310E" w:rsidRPr="00102B70">
        <w:rPr>
          <w:rFonts w:ascii="Garamond" w:hAnsi="Garamond"/>
          <w:bCs/>
          <w:lang w:val="en-GB"/>
        </w:rPr>
        <w:t>perceive</w:t>
      </w:r>
      <w:r w:rsidRPr="00102B70">
        <w:rPr>
          <w:rFonts w:ascii="Garamond" w:hAnsi="Garamond"/>
          <w:bCs/>
          <w:lang w:val="en-GB"/>
        </w:rPr>
        <w:t xml:space="preserve"> that the good use of the concept of economic public order is not restricted only to matters of economic law, but brings other solutions in </w:t>
      </w:r>
      <w:r w:rsidRPr="00102B70">
        <w:rPr>
          <w:rFonts w:ascii="Garamond" w:hAnsi="Garamond"/>
          <w:bCs/>
          <w:color w:val="000000" w:themeColor="text1"/>
          <w:lang w:val="en-GB"/>
        </w:rPr>
        <w:t xml:space="preserve">the </w:t>
      </w:r>
      <w:r w:rsidR="0094310E" w:rsidRPr="00102B70">
        <w:rPr>
          <w:rFonts w:ascii="Garamond" w:hAnsi="Garamond"/>
          <w:bCs/>
          <w:color w:val="000000" w:themeColor="text1"/>
          <w:lang w:val="en-GB"/>
        </w:rPr>
        <w:t>area</w:t>
      </w:r>
      <w:r w:rsidRPr="00102B70">
        <w:rPr>
          <w:rFonts w:ascii="Garamond" w:hAnsi="Garamond"/>
          <w:bCs/>
          <w:color w:val="000000" w:themeColor="text1"/>
          <w:lang w:val="en-GB"/>
        </w:rPr>
        <w:t xml:space="preserve"> of private law, such as due diligence, loyalty and information duties, rules of duty of contractual good faith. From this, the possibility of conceiving a concept </w:t>
      </w:r>
      <w:r w:rsidRPr="00102B70">
        <w:rPr>
          <w:rFonts w:ascii="Garamond" w:hAnsi="Garamond"/>
          <w:bCs/>
          <w:lang w:val="en-GB"/>
        </w:rPr>
        <w:t>of economic public order in Brazil is envisaged, considering the rules of the Economic Constitution that qualify as rules of public order within the scope of private law, especially in arbitration law.</w:t>
      </w:r>
    </w:p>
    <w:p w14:paraId="6BE06D2E" w14:textId="1DB77D61" w:rsidR="009A573E" w:rsidRPr="00102B70" w:rsidRDefault="009A573E" w:rsidP="00102B70">
      <w:pPr>
        <w:spacing w:line="240" w:lineRule="auto"/>
        <w:ind w:firstLine="0"/>
        <w:rPr>
          <w:rFonts w:ascii="Garamond" w:hAnsi="Garamond"/>
          <w:lang w:val="en-GB"/>
        </w:rPr>
      </w:pPr>
      <w:r w:rsidRPr="00102B70">
        <w:rPr>
          <w:rFonts w:ascii="Garamond" w:hAnsi="Garamond"/>
          <w:b/>
          <w:bCs/>
          <w:lang w:val="en-GB"/>
        </w:rPr>
        <w:t xml:space="preserve">Keywords: </w:t>
      </w:r>
      <w:r w:rsidRPr="00102B70">
        <w:rPr>
          <w:rFonts w:ascii="Garamond" w:hAnsi="Garamond"/>
          <w:lang w:val="en-GB"/>
        </w:rPr>
        <w:t>Economic public order; Economic Constitution; Arbitration.</w:t>
      </w:r>
    </w:p>
    <w:p w14:paraId="0000000E" w14:textId="77777777" w:rsidR="00103C5A" w:rsidRPr="00102B70" w:rsidRDefault="00103C5A" w:rsidP="00102B70">
      <w:pPr>
        <w:spacing w:line="240" w:lineRule="auto"/>
        <w:ind w:firstLine="0"/>
        <w:rPr>
          <w:rFonts w:ascii="Garamond" w:hAnsi="Garamond"/>
          <w:b/>
          <w:lang w:val="en-US"/>
        </w:rPr>
      </w:pPr>
    </w:p>
    <w:p w14:paraId="0000000F" w14:textId="4F0757B8" w:rsidR="00103C5A" w:rsidRPr="00102B70" w:rsidRDefault="00420BAC" w:rsidP="00FB36DD">
      <w:pPr>
        <w:pStyle w:val="PargrafodaLista"/>
        <w:numPr>
          <w:ilvl w:val="0"/>
          <w:numId w:val="2"/>
        </w:numPr>
        <w:ind w:left="0" w:firstLine="709"/>
        <w:rPr>
          <w:rFonts w:ascii="Garamond" w:hAnsi="Garamond"/>
          <w:b/>
        </w:rPr>
      </w:pPr>
      <w:r w:rsidRPr="00102B70">
        <w:rPr>
          <w:rFonts w:ascii="Garamond" w:hAnsi="Garamond"/>
          <w:b/>
        </w:rPr>
        <w:t>Constituição Econômica espanhola</w:t>
      </w:r>
    </w:p>
    <w:p w14:paraId="251441B5" w14:textId="77777777" w:rsidR="00F65832" w:rsidRPr="00102B70" w:rsidRDefault="00F65832" w:rsidP="00A5098C">
      <w:pPr>
        <w:ind w:firstLine="709"/>
        <w:rPr>
          <w:rFonts w:ascii="Garamond" w:hAnsi="Garamond"/>
          <w:lang w:val="pt-PT"/>
        </w:rPr>
      </w:pPr>
      <w:r w:rsidRPr="00102B70">
        <w:rPr>
          <w:rFonts w:ascii="Garamond" w:hAnsi="Garamond"/>
          <w:lang w:val="pt-PT"/>
        </w:rPr>
        <w:t xml:space="preserve">O artigo 38 da Constituição Espanhola (CE) de 1978, vigente, reconhece a </w:t>
      </w:r>
      <w:r w:rsidRPr="00102B70">
        <w:rPr>
          <w:rFonts w:ascii="Garamond" w:hAnsi="Garamond"/>
          <w:i/>
          <w:iCs/>
          <w:lang w:val="pt-PT"/>
        </w:rPr>
        <w:t xml:space="preserve">liberdade de empresa </w:t>
      </w:r>
      <w:r w:rsidRPr="00102B70">
        <w:rPr>
          <w:rFonts w:ascii="Garamond" w:hAnsi="Garamond"/>
          <w:lang w:val="pt-PT"/>
        </w:rPr>
        <w:t xml:space="preserve">na estrutura da economia de mercado. Este artigo é conhecido como o substrato da </w:t>
      </w:r>
      <w:r w:rsidRPr="00102B70">
        <w:rPr>
          <w:rFonts w:ascii="Garamond" w:hAnsi="Garamond" w:cs="Calibri"/>
          <w:lang w:val="pt-PT"/>
        </w:rPr>
        <w:t>«</w:t>
      </w:r>
      <w:r w:rsidRPr="00102B70">
        <w:rPr>
          <w:rFonts w:ascii="Garamond" w:hAnsi="Garamond"/>
          <w:lang w:val="pt-PT"/>
        </w:rPr>
        <w:t>Constituição Econômica</w:t>
      </w:r>
      <w:r w:rsidRPr="00102B70">
        <w:rPr>
          <w:rFonts w:ascii="Garamond" w:hAnsi="Garamond" w:cs="Calibri"/>
          <w:lang w:val="pt-PT"/>
        </w:rPr>
        <w:t>»</w:t>
      </w:r>
      <w:r w:rsidRPr="00102B70">
        <w:rPr>
          <w:rFonts w:ascii="Garamond" w:hAnsi="Garamond"/>
          <w:lang w:val="pt-PT"/>
        </w:rPr>
        <w:t xml:space="preserve">, pois do seu preceito, a Constituição projeta no ordenamento jurídico espanhol </w:t>
      </w:r>
      <w:r w:rsidRPr="00102B70">
        <w:rPr>
          <w:rFonts w:ascii="Garamond" w:hAnsi="Garamond"/>
          <w:i/>
          <w:iCs/>
          <w:lang w:val="pt-PT"/>
        </w:rPr>
        <w:t xml:space="preserve">a proteção da liberdade de empresa e a defesa da sua produtividade, garantida pelas </w:t>
      </w:r>
      <w:r w:rsidRPr="00102B70">
        <w:rPr>
          <w:rFonts w:ascii="Garamond" w:hAnsi="Garamond"/>
          <w:i/>
          <w:iCs/>
          <w:lang w:val="pt-PT"/>
        </w:rPr>
        <w:lastRenderedPageBreak/>
        <w:t xml:space="preserve">autoridades públicas, de acordo com os requisitos da economia geral e, quando apropriado, do </w:t>
      </w:r>
      <w:proofErr w:type="spellStart"/>
      <w:r w:rsidRPr="00102B70">
        <w:rPr>
          <w:rFonts w:ascii="Garamond" w:hAnsi="Garamond"/>
          <w:i/>
          <w:iCs/>
          <w:lang w:val="pt-PT"/>
        </w:rPr>
        <w:t>planejamento</w:t>
      </w:r>
      <w:proofErr w:type="spellEnd"/>
      <w:r w:rsidRPr="00102B70">
        <w:rPr>
          <w:rStyle w:val="Refdenotaderodap"/>
          <w:rFonts w:ascii="Garamond" w:hAnsi="Garamond"/>
          <w:i/>
          <w:iCs/>
          <w:lang w:val="pt-PT"/>
        </w:rPr>
        <w:footnoteReference w:id="3"/>
      </w:r>
      <w:r w:rsidRPr="00102B70">
        <w:rPr>
          <w:rFonts w:ascii="Garamond" w:hAnsi="Garamond"/>
          <w:lang w:val="pt-PT"/>
        </w:rPr>
        <w:t xml:space="preserve">.  A </w:t>
      </w:r>
      <w:r w:rsidRPr="00102B70">
        <w:rPr>
          <w:rFonts w:ascii="Garamond" w:hAnsi="Garamond"/>
          <w:i/>
          <w:iCs/>
          <w:lang w:val="pt-PT"/>
        </w:rPr>
        <w:t>Constituição Econômica</w:t>
      </w:r>
      <w:r w:rsidRPr="00102B70">
        <w:rPr>
          <w:rFonts w:ascii="Garamond" w:hAnsi="Garamond"/>
          <w:lang w:val="pt-PT"/>
        </w:rPr>
        <w:t xml:space="preserve"> se refere, portanto, ao conjunto de regras destinadas a proporcionar o marco fundamental para a estrutura e o funcionamento da atividade econômica no território espanhol.</w:t>
      </w:r>
    </w:p>
    <w:p w14:paraId="7033ED3B" w14:textId="77777777" w:rsidR="00F65832" w:rsidRPr="00102B70" w:rsidRDefault="00F65832" w:rsidP="00A5098C">
      <w:pPr>
        <w:ind w:firstLine="709"/>
        <w:rPr>
          <w:rFonts w:ascii="Garamond" w:hAnsi="Garamond"/>
          <w:lang w:val="pt-PT"/>
        </w:rPr>
      </w:pPr>
      <w:r w:rsidRPr="00102B70">
        <w:rPr>
          <w:rFonts w:ascii="Garamond" w:hAnsi="Garamond"/>
          <w:lang w:val="pt-PT"/>
        </w:rPr>
        <w:t>Segundo a doutrina e a jurisprudência Constitucional, deve-se interpretar o artigo 38 em sistematização com outros preceitos constitucionais, tal como aqueles de ordem privada – direito de propriedade (</w:t>
      </w:r>
      <w:proofErr w:type="spellStart"/>
      <w:r w:rsidRPr="00102B70">
        <w:rPr>
          <w:rFonts w:ascii="Garamond" w:hAnsi="Garamond"/>
          <w:lang w:val="pt-PT"/>
        </w:rPr>
        <w:t>art</w:t>
      </w:r>
      <w:proofErr w:type="spellEnd"/>
      <w:r w:rsidRPr="00102B70">
        <w:rPr>
          <w:rFonts w:ascii="Garamond" w:hAnsi="Garamond"/>
          <w:lang w:val="pt-PT"/>
        </w:rPr>
        <w:t>. 33,1, CE), pressuposto da liberdade contratual; direito de associação (</w:t>
      </w:r>
      <w:proofErr w:type="spellStart"/>
      <w:r w:rsidRPr="00102B70">
        <w:rPr>
          <w:rFonts w:ascii="Garamond" w:hAnsi="Garamond"/>
          <w:lang w:val="pt-PT"/>
        </w:rPr>
        <w:t>art</w:t>
      </w:r>
      <w:proofErr w:type="spellEnd"/>
      <w:r w:rsidRPr="00102B70">
        <w:rPr>
          <w:rFonts w:ascii="Garamond" w:hAnsi="Garamond"/>
          <w:lang w:val="pt-PT"/>
        </w:rPr>
        <w:t>. 22,1, CE), que está na base do direito de constituir sociedades; direito à produção e criação artística, científica e técnica (</w:t>
      </w:r>
      <w:proofErr w:type="spellStart"/>
      <w:r w:rsidRPr="00102B70">
        <w:rPr>
          <w:rFonts w:ascii="Garamond" w:hAnsi="Garamond"/>
          <w:lang w:val="pt-PT"/>
        </w:rPr>
        <w:t>art</w:t>
      </w:r>
      <w:proofErr w:type="spellEnd"/>
      <w:r w:rsidRPr="00102B70">
        <w:rPr>
          <w:rFonts w:ascii="Garamond" w:hAnsi="Garamond"/>
          <w:lang w:val="pt-PT"/>
        </w:rPr>
        <w:t>. 20,1), relacionado diretamente ao direito de propriedade industrial e intelectual; direito à comunicação e recebimento de informação por qualquer meio de difusão (</w:t>
      </w:r>
      <w:proofErr w:type="spellStart"/>
      <w:r w:rsidRPr="00102B70">
        <w:rPr>
          <w:rFonts w:ascii="Garamond" w:hAnsi="Garamond"/>
          <w:lang w:val="pt-PT"/>
        </w:rPr>
        <w:t>art</w:t>
      </w:r>
      <w:proofErr w:type="spellEnd"/>
      <w:r w:rsidRPr="00102B70">
        <w:rPr>
          <w:rFonts w:ascii="Garamond" w:hAnsi="Garamond"/>
          <w:lang w:val="pt-PT"/>
        </w:rPr>
        <w:t>. 20, 1, CE), que plasmaria no direito de fazer publicidade –,  os referidos direitos estariam limitados pelo interesse geral – transcendidos nos dispositivos do artigo 128 da Constituição Espanhola</w:t>
      </w:r>
      <w:r w:rsidRPr="00102B70">
        <w:rPr>
          <w:rStyle w:val="Refdenotaderodap"/>
          <w:rFonts w:ascii="Garamond" w:hAnsi="Garamond"/>
          <w:lang w:val="pt-PT"/>
        </w:rPr>
        <w:footnoteReference w:id="4"/>
      </w:r>
      <w:r w:rsidRPr="00102B70">
        <w:rPr>
          <w:rFonts w:ascii="Garamond" w:hAnsi="Garamond"/>
          <w:lang w:val="pt-PT"/>
        </w:rPr>
        <w:t>.</w:t>
      </w:r>
    </w:p>
    <w:p w14:paraId="5F687BBE" w14:textId="0C37AAAF" w:rsidR="00F65832" w:rsidRPr="00102B70" w:rsidRDefault="00F65832" w:rsidP="00A5098C">
      <w:pPr>
        <w:ind w:firstLine="709"/>
        <w:rPr>
          <w:rFonts w:ascii="Garamond" w:hAnsi="Garamond"/>
          <w:lang w:val="es-ES_tradnl"/>
        </w:rPr>
      </w:pPr>
      <w:r w:rsidRPr="00102B70">
        <w:rPr>
          <w:rFonts w:ascii="Garamond" w:hAnsi="Garamond"/>
          <w:lang w:val="pt-PT"/>
        </w:rPr>
        <w:t xml:space="preserve">Um dos </w:t>
      </w:r>
      <w:proofErr w:type="spellStart"/>
      <w:r w:rsidRPr="00102B70">
        <w:rPr>
          <w:rFonts w:ascii="Garamond" w:hAnsi="Garamond"/>
          <w:i/>
          <w:iCs/>
          <w:lang w:val="pt-PT"/>
        </w:rPr>
        <w:t>siete</w:t>
      </w:r>
      <w:proofErr w:type="spellEnd"/>
      <w:r w:rsidRPr="00102B70">
        <w:rPr>
          <w:rFonts w:ascii="Garamond" w:hAnsi="Garamond"/>
          <w:i/>
          <w:iCs/>
          <w:lang w:val="pt-PT"/>
        </w:rPr>
        <w:t xml:space="preserve"> padres</w:t>
      </w:r>
      <w:r w:rsidRPr="00102B70">
        <w:rPr>
          <w:rFonts w:ascii="Garamond" w:hAnsi="Garamond"/>
          <w:lang w:val="pt-PT"/>
        </w:rPr>
        <w:t xml:space="preserve"> da Constituição, </w:t>
      </w:r>
      <w:r w:rsidRPr="00102B70">
        <w:rPr>
          <w:rFonts w:ascii="Garamond" w:hAnsi="Garamond"/>
        </w:rPr>
        <w:t>HERRERO DE MIÑON</w:t>
      </w:r>
      <w:r w:rsidRPr="00102B70">
        <w:rPr>
          <w:rFonts w:ascii="Garamond" w:hAnsi="Garamond"/>
          <w:lang w:val="pt-PT"/>
        </w:rPr>
        <w:t xml:space="preserve">, jurista e político espanhol que participou na elaboração da Constituição Espanhola de 1978, </w:t>
      </w:r>
      <w:r w:rsidRPr="00102B70">
        <w:rPr>
          <w:rFonts w:ascii="Garamond" w:hAnsi="Garamond"/>
        </w:rPr>
        <w:t>explica que a: «</w:t>
      </w:r>
      <w:r w:rsidRPr="00102B70">
        <w:rPr>
          <w:rFonts w:ascii="Garamond" w:hAnsi="Garamond"/>
          <w:i/>
          <w:iCs/>
          <w:lang w:val="es-ES_tradnl"/>
        </w:rPr>
        <w:t>Constitución económica tiene, en efecto, una doble acepción. En sentido formal, es el conjunto de normas constitucionales que consagran los principios y reglas por las que han de regirse la actividad económica desarrollada por el Estado y los ciudadanos</w:t>
      </w:r>
      <w:r w:rsidRPr="00102B70">
        <w:rPr>
          <w:rFonts w:ascii="Garamond" w:hAnsi="Garamond"/>
          <w:lang w:val="es-ES_tradnl"/>
        </w:rPr>
        <w:t>»</w:t>
      </w:r>
      <w:r w:rsidRPr="00102B70">
        <w:rPr>
          <w:rStyle w:val="Refdenotaderodap"/>
          <w:rFonts w:ascii="Garamond" w:hAnsi="Garamond"/>
        </w:rPr>
        <w:footnoteReference w:id="5"/>
      </w:r>
      <w:r w:rsidRPr="00102B70">
        <w:rPr>
          <w:rFonts w:ascii="Garamond" w:hAnsi="Garamond"/>
        </w:rPr>
        <w:t xml:space="preserve">, e, essa primeira acepção, caracterizada pela formalidade do texto vazio, contrasta com a acepção material da </w:t>
      </w:r>
      <w:r w:rsidRPr="00102B70">
        <w:rPr>
          <w:rFonts w:ascii="Garamond" w:hAnsi="Garamond"/>
          <w:i/>
          <w:iCs/>
        </w:rPr>
        <w:t>Constituição Econômica</w:t>
      </w:r>
      <w:r w:rsidRPr="00102B70">
        <w:rPr>
          <w:rFonts w:ascii="Garamond" w:hAnsi="Garamond"/>
        </w:rPr>
        <w:t xml:space="preserve">, projetada de forma mais próxima à realidade do mercado econômico, e por isso, denominar-se-ia </w:t>
      </w:r>
      <w:r w:rsidRPr="00102B70">
        <w:rPr>
          <w:rFonts w:ascii="Garamond" w:hAnsi="Garamond"/>
          <w:lang w:val="es-ES_tradnl"/>
        </w:rPr>
        <w:t>«</w:t>
      </w:r>
      <w:proofErr w:type="spellStart"/>
      <w:r w:rsidRPr="00102B70">
        <w:rPr>
          <w:rFonts w:ascii="Garamond" w:hAnsi="Garamond"/>
          <w:lang w:val="es-ES_tradnl"/>
        </w:rPr>
        <w:t>ordem</w:t>
      </w:r>
      <w:proofErr w:type="spellEnd"/>
      <w:r w:rsidRPr="00102B70">
        <w:rPr>
          <w:rFonts w:ascii="Garamond" w:hAnsi="Garamond"/>
          <w:lang w:val="es-ES_tradnl"/>
        </w:rPr>
        <w:t xml:space="preserve"> </w:t>
      </w:r>
      <w:proofErr w:type="spellStart"/>
      <w:r w:rsidRPr="00102B70">
        <w:rPr>
          <w:rFonts w:ascii="Garamond" w:hAnsi="Garamond"/>
          <w:lang w:val="es-ES_tradnl"/>
        </w:rPr>
        <w:t>econômica</w:t>
      </w:r>
      <w:proofErr w:type="spellEnd"/>
      <w:r w:rsidRPr="00102B70">
        <w:rPr>
          <w:rFonts w:ascii="Garamond" w:hAnsi="Garamond"/>
          <w:lang w:val="es-ES_tradnl"/>
        </w:rPr>
        <w:t xml:space="preserve">», que se </w:t>
      </w:r>
      <w:proofErr w:type="spellStart"/>
      <w:r w:rsidRPr="00102B70">
        <w:rPr>
          <w:rFonts w:ascii="Garamond" w:hAnsi="Garamond"/>
          <w:lang w:val="es-ES_tradnl"/>
        </w:rPr>
        <w:t>entende</w:t>
      </w:r>
      <w:proofErr w:type="spellEnd"/>
      <w:r w:rsidRPr="00102B70">
        <w:rPr>
          <w:rFonts w:ascii="Garamond" w:hAnsi="Garamond"/>
          <w:lang w:val="es-ES_tradnl"/>
        </w:rPr>
        <w:t xml:space="preserve"> como: </w:t>
      </w:r>
      <w:r w:rsidRPr="00102B70">
        <w:rPr>
          <w:rFonts w:ascii="Garamond" w:hAnsi="Garamond"/>
        </w:rPr>
        <w:t>«</w:t>
      </w:r>
      <w:r w:rsidRPr="00102B70">
        <w:rPr>
          <w:rFonts w:ascii="Garamond" w:hAnsi="Garamond"/>
          <w:i/>
          <w:iCs/>
          <w:lang w:val="es-ES_tradnl"/>
        </w:rPr>
        <w:t xml:space="preserve">el conjunto de todas las reglas por las que se rige la </w:t>
      </w:r>
      <w:proofErr w:type="spellStart"/>
      <w:r w:rsidRPr="00102B70">
        <w:rPr>
          <w:rFonts w:ascii="Garamond" w:hAnsi="Garamond"/>
          <w:i/>
          <w:iCs/>
          <w:lang w:val="es-ES_tradnl"/>
        </w:rPr>
        <w:t>economia</w:t>
      </w:r>
      <w:proofErr w:type="spellEnd"/>
      <w:r w:rsidRPr="00102B70">
        <w:rPr>
          <w:rFonts w:ascii="Garamond" w:hAnsi="Garamond"/>
          <w:i/>
          <w:iCs/>
          <w:lang w:val="es-ES_tradnl"/>
        </w:rPr>
        <w:t xml:space="preserve"> nacional y los procesos económicos, así como la totalidad de las instituciones competentes para la administración, dirección y estructuración de la economía</w:t>
      </w:r>
      <w:r w:rsidRPr="00102B70">
        <w:rPr>
          <w:rFonts w:ascii="Garamond" w:hAnsi="Garamond"/>
          <w:lang w:val="es-ES_tradnl"/>
        </w:rPr>
        <w:t>»</w:t>
      </w:r>
      <w:r w:rsidRPr="00102B70">
        <w:rPr>
          <w:rStyle w:val="Refdenotaderodap"/>
          <w:rFonts w:ascii="Garamond" w:hAnsi="Garamond"/>
          <w:lang w:val="es-ES_tradnl"/>
        </w:rPr>
        <w:footnoteReference w:id="6"/>
      </w:r>
      <w:r w:rsidRPr="00102B70">
        <w:rPr>
          <w:rFonts w:ascii="Garamond" w:hAnsi="Garamond"/>
          <w:lang w:val="es-ES_tradnl"/>
        </w:rPr>
        <w:t>.</w:t>
      </w:r>
    </w:p>
    <w:p w14:paraId="7B8B2B97" w14:textId="48321871" w:rsidR="00F65832" w:rsidRPr="00102B70" w:rsidRDefault="00F65832" w:rsidP="00A5098C">
      <w:pPr>
        <w:ind w:firstLine="709"/>
        <w:rPr>
          <w:rFonts w:ascii="Garamond" w:hAnsi="Garamond"/>
          <w:lang w:val="pt-PT"/>
        </w:rPr>
      </w:pPr>
      <w:r w:rsidRPr="00102B70">
        <w:rPr>
          <w:rFonts w:ascii="Garamond" w:hAnsi="Garamond"/>
          <w:lang w:val="pt-PT"/>
        </w:rPr>
        <w:t xml:space="preserve">A jurisprudência do Tribunal espanhol tem tentado responder a natureza da </w:t>
      </w:r>
      <w:r w:rsidRPr="00102B70">
        <w:rPr>
          <w:rFonts w:ascii="Garamond" w:hAnsi="Garamond"/>
          <w:i/>
          <w:iCs/>
          <w:lang w:val="pt-PT"/>
        </w:rPr>
        <w:t>Constituição Econômica</w:t>
      </w:r>
      <w:r w:rsidRPr="00102B70">
        <w:rPr>
          <w:rFonts w:ascii="Garamond" w:hAnsi="Garamond"/>
          <w:lang w:val="pt-PT"/>
        </w:rPr>
        <w:t xml:space="preserve"> em múltiplas decisões. Qualificou-a de «direito fundamental» (SSTC 37/1981, FJ. 2.a y 46/1983, FJ. 6.a, reiterada em 118/1983), assim como de «direito constitucional com caráter de garantia institucional» (</w:t>
      </w:r>
      <w:r w:rsidRPr="00102B70">
        <w:rPr>
          <w:rFonts w:ascii="Garamond" w:hAnsi="Garamond"/>
          <w:i/>
          <w:iCs/>
          <w:lang w:val="pt-PT"/>
        </w:rPr>
        <w:t>Sentencias</w:t>
      </w:r>
      <w:r w:rsidRPr="00102B70">
        <w:rPr>
          <w:rFonts w:ascii="Garamond" w:hAnsi="Garamond"/>
          <w:lang w:val="pt-PT"/>
        </w:rPr>
        <w:t xml:space="preserve"> 83/1984, FJ. 3, e 225/1993, FJ. 3,</w:t>
      </w:r>
      <w:r w:rsidRPr="00102B70">
        <w:rPr>
          <w:rFonts w:ascii="Garamond" w:hAnsi="Garamond"/>
        </w:rPr>
        <w:t xml:space="preserve"> </w:t>
      </w:r>
      <w:r w:rsidRPr="00102B70">
        <w:rPr>
          <w:rFonts w:ascii="Garamond" w:hAnsi="Garamond"/>
          <w:lang w:val="pt-PT"/>
        </w:rPr>
        <w:t xml:space="preserve">B), até o ponto de declarar que a sua natureza «não está isenta de graves dificuldades </w:t>
      </w:r>
      <w:r w:rsidRPr="00102B70">
        <w:rPr>
          <w:rFonts w:ascii="Garamond" w:hAnsi="Garamond"/>
          <w:lang w:val="pt-PT"/>
        </w:rPr>
        <w:lastRenderedPageBreak/>
        <w:t>de definição... com carácter abstrato e de geral aplicação» (STC 37/1987, FJ. 5.°), ao passo que não seria necessário entrar «na análise do que há de entender-se por liberdade de empresa ou qual seria o conteúdo essencial dessa liberdade» (STC 37/1981, FJ. 2.).</w:t>
      </w:r>
    </w:p>
    <w:p w14:paraId="71679766" w14:textId="77777777" w:rsidR="00420BAC" w:rsidRPr="00102B70" w:rsidRDefault="00420BAC" w:rsidP="00A5098C">
      <w:pPr>
        <w:pStyle w:val="NormalWeb"/>
        <w:spacing w:before="0" w:beforeAutospacing="0" w:after="0" w:afterAutospacing="0" w:line="360" w:lineRule="auto"/>
        <w:ind w:firstLine="709"/>
        <w:jc w:val="both"/>
        <w:rPr>
          <w:rFonts w:ascii="Garamond" w:hAnsi="Garamond"/>
        </w:rPr>
      </w:pPr>
      <w:r w:rsidRPr="00102B70">
        <w:rPr>
          <w:rFonts w:ascii="Garamond" w:hAnsi="Garamond"/>
        </w:rPr>
        <w:t xml:space="preserve">De outro lado, o Tribunal Constitucional espanhol em diferentes ocasiões lidou com a questão do princípio da </w:t>
      </w:r>
      <w:r w:rsidRPr="00102B70">
        <w:rPr>
          <w:rFonts w:ascii="Garamond" w:hAnsi="Garamond"/>
          <w:i/>
          <w:iCs/>
        </w:rPr>
        <w:t>liberdade de empresa</w:t>
      </w:r>
      <w:r w:rsidRPr="00102B70">
        <w:rPr>
          <w:rFonts w:ascii="Garamond" w:hAnsi="Garamond"/>
        </w:rPr>
        <w:t xml:space="preserve"> relacionado à liberdade das pessoas de criar empresas, de atuar no mercado, de estabelecer objetivos próprios da empresa e de direcionar e planejar sua atividade com atenção aos recursos e condições do próprio mercado (STC 225/1993, FJ. 3.B). Nesse sentido, cabe deduzir que a «economia de mercado» é o marco onde se exerce a liberdade de empresa. A Sentença do Tribunal Constitucional (STC 88/1986 de 1º de julho), reiterou a doutrina anterior (Sentencia 71/1982), onde referia o «reconhecimento da economia de mercado pela Constituição como quadro obrigatório ao exercício da liberdade de empresa e, o compromisso de proteger o exercício desta por parte dos poderes públicos supõe a necessidade de uma atuação especificamente direcionada a defender tais objetivos constitucionais». Compreende HERRERO DE MIÑON</w:t>
      </w:r>
      <w:r w:rsidRPr="00102B70">
        <w:rPr>
          <w:rStyle w:val="Refdenotaderodap"/>
          <w:rFonts w:ascii="Garamond" w:hAnsi="Garamond"/>
        </w:rPr>
        <w:footnoteReference w:id="7"/>
      </w:r>
      <w:r w:rsidRPr="00102B70">
        <w:rPr>
          <w:rFonts w:ascii="Garamond" w:hAnsi="Garamond"/>
        </w:rPr>
        <w:t xml:space="preserve"> que essa interpretação constitucional condiz ao seguinte: as intervenções públicas na economia de mercado não devem ser dirigidas numa atuação do Estado </w:t>
      </w:r>
      <w:r w:rsidRPr="00102B70">
        <w:rPr>
          <w:rFonts w:ascii="Garamond" w:hAnsi="Garamond"/>
          <w:i/>
          <w:iCs/>
        </w:rPr>
        <w:t>no</w:t>
      </w:r>
      <w:r w:rsidRPr="00102B70">
        <w:rPr>
          <w:rFonts w:ascii="Garamond" w:hAnsi="Garamond"/>
        </w:rPr>
        <w:t xml:space="preserve"> mercado (como expõe o </w:t>
      </w:r>
      <w:proofErr w:type="spellStart"/>
      <w:r w:rsidRPr="00102B70">
        <w:rPr>
          <w:rFonts w:ascii="Garamond" w:hAnsi="Garamond"/>
        </w:rPr>
        <w:t>art</w:t>
      </w:r>
      <w:proofErr w:type="spellEnd"/>
      <w:r w:rsidRPr="00102B70">
        <w:rPr>
          <w:rFonts w:ascii="Garamond" w:hAnsi="Garamond"/>
        </w:rPr>
        <w:t xml:space="preserve">. 128, 1 da CE), mas, entretanto, a uma atuação </w:t>
      </w:r>
      <w:r w:rsidRPr="00102B70">
        <w:rPr>
          <w:rFonts w:ascii="Garamond" w:hAnsi="Garamond"/>
          <w:i/>
          <w:iCs/>
        </w:rPr>
        <w:t xml:space="preserve">sobre </w:t>
      </w:r>
      <w:r w:rsidRPr="00102B70">
        <w:rPr>
          <w:rFonts w:ascii="Garamond" w:hAnsi="Garamond"/>
        </w:rPr>
        <w:t>o mercado, conforme o elemento «</w:t>
      </w:r>
      <w:proofErr w:type="spellStart"/>
      <w:r w:rsidRPr="00102B70">
        <w:rPr>
          <w:rFonts w:ascii="Garamond" w:hAnsi="Garamond"/>
        </w:rPr>
        <w:t>planejamento</w:t>
      </w:r>
      <w:proofErr w:type="spellEnd"/>
      <w:r w:rsidRPr="00102B70">
        <w:rPr>
          <w:rFonts w:ascii="Garamond" w:hAnsi="Garamond"/>
        </w:rPr>
        <w:t xml:space="preserve">» composto no </w:t>
      </w:r>
      <w:proofErr w:type="spellStart"/>
      <w:r w:rsidRPr="00102B70">
        <w:rPr>
          <w:rFonts w:ascii="Garamond" w:hAnsi="Garamond"/>
        </w:rPr>
        <w:t>art</w:t>
      </w:r>
      <w:proofErr w:type="spellEnd"/>
      <w:r w:rsidRPr="00102B70">
        <w:rPr>
          <w:rFonts w:ascii="Garamond" w:hAnsi="Garamond"/>
        </w:rPr>
        <w:t>. 38 e 131 da Constituição Espanhola</w:t>
      </w:r>
      <w:r w:rsidRPr="00102B70">
        <w:rPr>
          <w:rStyle w:val="Refdenotaderodap"/>
          <w:rFonts w:ascii="Garamond" w:hAnsi="Garamond"/>
        </w:rPr>
        <w:footnoteReference w:id="8"/>
      </w:r>
      <w:r w:rsidRPr="00102B70">
        <w:rPr>
          <w:rFonts w:ascii="Garamond" w:hAnsi="Garamond"/>
        </w:rPr>
        <w:t>.</w:t>
      </w:r>
    </w:p>
    <w:p w14:paraId="08320180" w14:textId="425D9CC3" w:rsidR="00E074C4" w:rsidRDefault="00E074C4" w:rsidP="00E074C4">
      <w:pPr>
        <w:ind w:firstLine="0"/>
        <w:rPr>
          <w:rFonts w:ascii="Garamond" w:hAnsi="Garamond"/>
        </w:rPr>
      </w:pPr>
    </w:p>
    <w:p w14:paraId="1C53ADE6" w14:textId="72CD6D24" w:rsidR="00FB36DD" w:rsidRDefault="00FB36DD" w:rsidP="00E074C4">
      <w:pPr>
        <w:ind w:firstLine="0"/>
        <w:rPr>
          <w:rFonts w:ascii="Garamond" w:hAnsi="Garamond"/>
        </w:rPr>
      </w:pPr>
      <w:r>
        <w:rPr>
          <w:rFonts w:ascii="Garamond" w:hAnsi="Garamond"/>
        </w:rPr>
        <w:t>(.....)</w:t>
      </w:r>
    </w:p>
    <w:p w14:paraId="4DE0E0A5" w14:textId="77777777" w:rsidR="00FB36DD" w:rsidRPr="00102B70" w:rsidRDefault="00FB36DD" w:rsidP="00E074C4">
      <w:pPr>
        <w:ind w:firstLine="0"/>
        <w:rPr>
          <w:rFonts w:ascii="Garamond" w:hAnsi="Garamond"/>
        </w:rPr>
      </w:pPr>
    </w:p>
    <w:p w14:paraId="00000063" w14:textId="6A674B5D" w:rsidR="00103C5A" w:rsidRPr="00102B70" w:rsidRDefault="00981449">
      <w:pPr>
        <w:ind w:firstLine="0"/>
        <w:rPr>
          <w:rFonts w:ascii="Garamond" w:hAnsi="Garamond"/>
          <w:b/>
        </w:rPr>
      </w:pPr>
      <w:r w:rsidRPr="00102B70">
        <w:rPr>
          <w:rFonts w:ascii="Garamond" w:hAnsi="Garamond"/>
          <w:b/>
        </w:rPr>
        <w:t>REFERÊNCIAS</w:t>
      </w:r>
      <w:r w:rsidR="00EF5716" w:rsidRPr="00102B70">
        <w:rPr>
          <w:rFonts w:ascii="Garamond" w:hAnsi="Garamond"/>
          <w:b/>
        </w:rPr>
        <w:t xml:space="preserve"> BIBLIOGÁFICAS</w:t>
      </w:r>
    </w:p>
    <w:p w14:paraId="72866D82" w14:textId="77777777" w:rsidR="00EF5716" w:rsidRPr="00102B70" w:rsidRDefault="00EF5716">
      <w:pPr>
        <w:spacing w:line="240" w:lineRule="auto"/>
        <w:ind w:firstLine="0"/>
        <w:jc w:val="left"/>
        <w:rPr>
          <w:rFonts w:ascii="Garamond" w:hAnsi="Garamond"/>
        </w:rPr>
      </w:pPr>
    </w:p>
    <w:p w14:paraId="3B91725C" w14:textId="7B5E95C4" w:rsidR="00EF5716" w:rsidRPr="00102B70" w:rsidRDefault="00EF5716" w:rsidP="002C784B">
      <w:pPr>
        <w:spacing w:after="120" w:line="240" w:lineRule="auto"/>
        <w:ind w:firstLine="0"/>
        <w:rPr>
          <w:rFonts w:ascii="Garamond" w:hAnsi="Garamond"/>
        </w:rPr>
      </w:pPr>
      <w:r w:rsidRPr="00102B70">
        <w:rPr>
          <w:rFonts w:ascii="Garamond" w:hAnsi="Garamond"/>
        </w:rPr>
        <w:lastRenderedPageBreak/>
        <w:t xml:space="preserve">AMORIM, João Pacheco de. A Constituição Económica Portuguesa Enquadramento dogmático e princípios fundamentais. </w:t>
      </w:r>
      <w:r w:rsidRPr="00102B70">
        <w:rPr>
          <w:rFonts w:ascii="Garamond" w:hAnsi="Garamond"/>
          <w:i/>
          <w:iCs/>
        </w:rPr>
        <w:t>Revista da Faculdade de Direito da Universidade do Porto</w:t>
      </w:r>
      <w:r w:rsidRPr="00102B70">
        <w:rPr>
          <w:rFonts w:ascii="Garamond" w:hAnsi="Garamond"/>
        </w:rPr>
        <w:t>, Coimbra, a.8, p.31-106, 2011.</w:t>
      </w:r>
    </w:p>
    <w:p w14:paraId="04C6FF98" w14:textId="5445230D" w:rsidR="00EF5716" w:rsidRPr="00102B70" w:rsidRDefault="00EF5716" w:rsidP="002C784B">
      <w:pPr>
        <w:spacing w:after="120" w:line="240" w:lineRule="auto"/>
        <w:ind w:firstLine="0"/>
        <w:rPr>
          <w:rFonts w:ascii="Garamond" w:hAnsi="Garamond"/>
        </w:rPr>
      </w:pPr>
      <w:r w:rsidRPr="00102B70">
        <w:rPr>
          <w:rFonts w:ascii="Garamond" w:hAnsi="Garamond"/>
        </w:rPr>
        <w:t xml:space="preserve">APRIGLIANO, Ricardo de Carvalho. </w:t>
      </w:r>
      <w:r w:rsidRPr="00102B70">
        <w:rPr>
          <w:rFonts w:ascii="Garamond" w:hAnsi="Garamond"/>
          <w:i/>
          <w:iCs/>
        </w:rPr>
        <w:t>Ordem Pública e Processo</w:t>
      </w:r>
      <w:r w:rsidRPr="00102B70">
        <w:rPr>
          <w:rFonts w:ascii="Garamond" w:hAnsi="Garamond"/>
        </w:rPr>
        <w:t>. São Paulo: Editora Atlas, 2011.</w:t>
      </w:r>
    </w:p>
    <w:p w14:paraId="03E108DE" w14:textId="04A0BEE1" w:rsidR="00EF5716" w:rsidRPr="00102B70" w:rsidRDefault="00EF5716" w:rsidP="002C784B">
      <w:pPr>
        <w:spacing w:after="120" w:line="240" w:lineRule="auto"/>
        <w:ind w:firstLine="0"/>
        <w:rPr>
          <w:rFonts w:ascii="Garamond" w:hAnsi="Garamond"/>
        </w:rPr>
      </w:pPr>
      <w:r w:rsidRPr="00102B70">
        <w:rPr>
          <w:rFonts w:ascii="Garamond" w:hAnsi="Garamond"/>
        </w:rPr>
        <w:t xml:space="preserve">CARMONA, Carlos Alberto. </w:t>
      </w:r>
      <w:r w:rsidRPr="00102B70">
        <w:rPr>
          <w:rFonts w:ascii="Garamond" w:hAnsi="Garamond"/>
          <w:i/>
          <w:iCs/>
        </w:rPr>
        <w:t>Arbitragem e Processo</w:t>
      </w:r>
      <w:r w:rsidRPr="00102B70">
        <w:rPr>
          <w:rFonts w:ascii="Garamond" w:hAnsi="Garamond"/>
        </w:rPr>
        <w:t>: um comentário à Lei 9.307/96. São Paulo: Editora Atlas, 2011.</w:t>
      </w:r>
    </w:p>
    <w:p w14:paraId="25C77423" w14:textId="62250C81" w:rsidR="00B44DE3" w:rsidRPr="00102B70" w:rsidRDefault="00B44DE3" w:rsidP="002C784B">
      <w:pPr>
        <w:spacing w:after="120" w:line="240" w:lineRule="auto"/>
        <w:ind w:firstLine="0"/>
        <w:rPr>
          <w:rFonts w:ascii="Garamond" w:hAnsi="Garamond"/>
        </w:rPr>
      </w:pPr>
      <w:r w:rsidRPr="00102B70">
        <w:rPr>
          <w:rFonts w:ascii="Garamond" w:hAnsi="Garamond"/>
        </w:rPr>
        <w:t xml:space="preserve">DÍEZ-PICAZO Y PONCE DE LEÓN, </w:t>
      </w:r>
      <w:proofErr w:type="spellStart"/>
      <w:r w:rsidRPr="00102B70">
        <w:rPr>
          <w:rFonts w:ascii="Garamond" w:hAnsi="Garamond"/>
        </w:rPr>
        <w:t>Luis</w:t>
      </w:r>
      <w:proofErr w:type="spellEnd"/>
      <w:r w:rsidRPr="00102B70">
        <w:rPr>
          <w:rFonts w:ascii="Garamond" w:hAnsi="Garamond"/>
          <w:lang w:val="pt-PT"/>
        </w:rPr>
        <w:t xml:space="preserve">. </w:t>
      </w:r>
      <w:r w:rsidRPr="00102B70">
        <w:rPr>
          <w:rFonts w:ascii="Garamond" w:hAnsi="Garamond"/>
          <w:i/>
          <w:iCs/>
          <w:lang w:val="pt-PT"/>
        </w:rPr>
        <w:t xml:space="preserve">Fundamentos </w:t>
      </w:r>
      <w:proofErr w:type="spellStart"/>
      <w:r w:rsidRPr="00102B70">
        <w:rPr>
          <w:rFonts w:ascii="Garamond" w:hAnsi="Garamond"/>
          <w:i/>
          <w:iCs/>
          <w:lang w:val="pt-PT"/>
        </w:rPr>
        <w:t>del</w:t>
      </w:r>
      <w:proofErr w:type="spellEnd"/>
      <w:r w:rsidRPr="00102B70">
        <w:rPr>
          <w:rFonts w:ascii="Garamond" w:hAnsi="Garamond"/>
          <w:i/>
          <w:iCs/>
          <w:lang w:val="pt-PT"/>
        </w:rPr>
        <w:t xml:space="preserve"> </w:t>
      </w:r>
      <w:proofErr w:type="spellStart"/>
      <w:r w:rsidRPr="00102B70">
        <w:rPr>
          <w:rFonts w:ascii="Garamond" w:hAnsi="Garamond"/>
          <w:i/>
          <w:iCs/>
          <w:lang w:val="pt-PT"/>
        </w:rPr>
        <w:t>Derecho</w:t>
      </w:r>
      <w:proofErr w:type="spellEnd"/>
      <w:r w:rsidRPr="00102B70">
        <w:rPr>
          <w:rFonts w:ascii="Garamond" w:hAnsi="Garamond"/>
          <w:i/>
          <w:iCs/>
          <w:lang w:val="pt-PT"/>
        </w:rPr>
        <w:t xml:space="preserve"> Civil patrimonial</w:t>
      </w:r>
      <w:r w:rsidRPr="00102B70">
        <w:rPr>
          <w:rFonts w:ascii="Garamond" w:hAnsi="Garamond"/>
          <w:lang w:val="pt-PT"/>
        </w:rPr>
        <w:t xml:space="preserve">, vol. I, Ed. </w:t>
      </w:r>
      <w:proofErr w:type="spellStart"/>
      <w:r w:rsidRPr="00102B70">
        <w:rPr>
          <w:rFonts w:ascii="Garamond" w:hAnsi="Garamond"/>
          <w:lang w:val="pt-PT"/>
        </w:rPr>
        <w:t>Aranzadi</w:t>
      </w:r>
      <w:proofErr w:type="spellEnd"/>
      <w:r w:rsidRPr="00102B70">
        <w:rPr>
          <w:rFonts w:ascii="Garamond" w:hAnsi="Garamond"/>
          <w:lang w:val="pt-PT"/>
        </w:rPr>
        <w:t xml:space="preserve">, 6ª </w:t>
      </w:r>
      <w:proofErr w:type="spellStart"/>
      <w:r w:rsidRPr="00102B70">
        <w:rPr>
          <w:rFonts w:ascii="Garamond" w:hAnsi="Garamond"/>
          <w:lang w:val="pt-PT"/>
        </w:rPr>
        <w:t>edici</w:t>
      </w:r>
      <w:r w:rsidR="00FB36DD">
        <w:rPr>
          <w:rFonts w:ascii="Garamond" w:hAnsi="Garamond"/>
          <w:lang w:val="pt-PT"/>
        </w:rPr>
        <w:t>ó</w:t>
      </w:r>
      <w:r w:rsidRPr="00102B70">
        <w:rPr>
          <w:rFonts w:ascii="Garamond" w:hAnsi="Garamond"/>
          <w:lang w:val="pt-PT"/>
        </w:rPr>
        <w:t>n</w:t>
      </w:r>
      <w:proofErr w:type="spellEnd"/>
      <w:r w:rsidRPr="00102B70">
        <w:rPr>
          <w:rFonts w:ascii="Garamond" w:hAnsi="Garamond"/>
          <w:lang w:val="pt-PT"/>
        </w:rPr>
        <w:t>, Navarra, 2007.</w:t>
      </w:r>
    </w:p>
    <w:p w14:paraId="00000085" w14:textId="1EC498DF" w:rsidR="00103C5A" w:rsidRPr="00102B70" w:rsidRDefault="00981449" w:rsidP="002C784B">
      <w:pPr>
        <w:spacing w:after="120" w:line="240" w:lineRule="auto"/>
        <w:ind w:firstLine="0"/>
        <w:rPr>
          <w:rFonts w:ascii="Garamond" w:hAnsi="Garamond"/>
        </w:rPr>
      </w:pPr>
      <w:r w:rsidRPr="00102B70">
        <w:rPr>
          <w:rFonts w:ascii="Garamond" w:hAnsi="Garamond"/>
        </w:rPr>
        <w:t xml:space="preserve">FORGIONI, Paula A. </w:t>
      </w:r>
      <w:r w:rsidRPr="00102B70">
        <w:rPr>
          <w:rFonts w:ascii="Garamond" w:hAnsi="Garamond"/>
          <w:bCs/>
          <w:i/>
          <w:iCs/>
        </w:rPr>
        <w:t xml:space="preserve">Contratos empresariais: teoria geral e aplicação. </w:t>
      </w:r>
      <w:r w:rsidRPr="00102B70">
        <w:rPr>
          <w:rFonts w:ascii="Garamond" w:hAnsi="Garamond"/>
        </w:rPr>
        <w:t xml:space="preserve">3. ed. São Paulo: Revista dos Tribunais, 2018. </w:t>
      </w:r>
    </w:p>
    <w:p w14:paraId="74D3E305" w14:textId="31ADA555" w:rsidR="00EF5716" w:rsidRPr="00102B70" w:rsidRDefault="002C784B" w:rsidP="002C784B">
      <w:pPr>
        <w:spacing w:after="120" w:line="240" w:lineRule="auto"/>
        <w:ind w:firstLine="0"/>
        <w:rPr>
          <w:rFonts w:ascii="Garamond" w:hAnsi="Garamond"/>
        </w:rPr>
      </w:pPr>
      <w:r w:rsidRPr="00102B70">
        <w:rPr>
          <w:rFonts w:ascii="Garamond" w:hAnsi="Garamond"/>
        </w:rPr>
        <w:t xml:space="preserve">GOMES, Orlando. </w:t>
      </w:r>
      <w:r w:rsidRPr="00102B70">
        <w:rPr>
          <w:rFonts w:ascii="Garamond" w:hAnsi="Garamond"/>
          <w:i/>
          <w:iCs/>
        </w:rPr>
        <w:t>Contratos.</w:t>
      </w:r>
      <w:r w:rsidRPr="00102B70">
        <w:rPr>
          <w:rFonts w:ascii="Garamond" w:hAnsi="Garamond"/>
        </w:rPr>
        <w:t xml:space="preserve"> 26ª ed. Rio de Janeiro: Editora Forense, 2008.</w:t>
      </w:r>
    </w:p>
    <w:p w14:paraId="00000086" w14:textId="0437C71E" w:rsidR="00103C5A" w:rsidRPr="00102B70" w:rsidRDefault="00EF5716" w:rsidP="002C784B">
      <w:pPr>
        <w:spacing w:after="120" w:line="240" w:lineRule="auto"/>
        <w:ind w:firstLine="0"/>
        <w:rPr>
          <w:rFonts w:ascii="Garamond" w:hAnsi="Garamond"/>
        </w:rPr>
      </w:pPr>
      <w:r w:rsidRPr="00102B70">
        <w:rPr>
          <w:rFonts w:ascii="Garamond" w:hAnsi="Garamond"/>
        </w:rPr>
        <w:t xml:space="preserve">GRAU, Eros Roberto. </w:t>
      </w:r>
      <w:r w:rsidRPr="00102B70">
        <w:rPr>
          <w:rFonts w:ascii="Garamond" w:hAnsi="Garamond"/>
          <w:i/>
          <w:iCs/>
        </w:rPr>
        <w:t>A ordem econômica na Constituição de 1988</w:t>
      </w:r>
      <w:r w:rsidRPr="00102B70">
        <w:rPr>
          <w:rFonts w:ascii="Garamond" w:hAnsi="Garamond"/>
        </w:rPr>
        <w:t>. 14ª ed. São Paulo: Malheiros Editores, 2010.</w:t>
      </w:r>
    </w:p>
    <w:p w14:paraId="6ADE87CA" w14:textId="2D9FCD88" w:rsidR="005E3932" w:rsidRPr="00102B70" w:rsidRDefault="005E3932" w:rsidP="005E3932">
      <w:pPr>
        <w:spacing w:before="120" w:after="120" w:line="240" w:lineRule="auto"/>
        <w:ind w:firstLine="0"/>
        <w:rPr>
          <w:rFonts w:ascii="Garamond" w:hAnsi="Garamond"/>
        </w:rPr>
      </w:pPr>
      <w:r w:rsidRPr="00102B70">
        <w:rPr>
          <w:rFonts w:ascii="Garamond" w:hAnsi="Garamond"/>
        </w:rPr>
        <w:t xml:space="preserve">GUTINIEKI, João Otávio </w:t>
      </w:r>
      <w:proofErr w:type="spellStart"/>
      <w:r w:rsidRPr="00102B70">
        <w:rPr>
          <w:rFonts w:ascii="Garamond" w:hAnsi="Garamond"/>
        </w:rPr>
        <w:t>Bacchi</w:t>
      </w:r>
      <w:proofErr w:type="spellEnd"/>
      <w:r w:rsidRPr="00102B70">
        <w:rPr>
          <w:rFonts w:ascii="Garamond" w:hAnsi="Garamond"/>
        </w:rPr>
        <w:t xml:space="preserve">; VEIGA, Fábio da Silva. Contextualização do direito concorrencial brasileiro, in: </w:t>
      </w:r>
      <w:proofErr w:type="spellStart"/>
      <w:r w:rsidRPr="00102B70">
        <w:rPr>
          <w:rFonts w:ascii="Garamond" w:hAnsi="Garamond"/>
          <w:i/>
          <w:iCs/>
        </w:rPr>
        <w:t>Estudios</w:t>
      </w:r>
      <w:proofErr w:type="spellEnd"/>
      <w:r w:rsidRPr="00102B70">
        <w:rPr>
          <w:rFonts w:ascii="Garamond" w:hAnsi="Garamond"/>
          <w:i/>
          <w:iCs/>
        </w:rPr>
        <w:t xml:space="preserve"> de </w:t>
      </w:r>
      <w:proofErr w:type="spellStart"/>
      <w:r w:rsidRPr="00102B70">
        <w:rPr>
          <w:rFonts w:ascii="Garamond" w:hAnsi="Garamond"/>
          <w:i/>
          <w:iCs/>
        </w:rPr>
        <w:t>Derecho</w:t>
      </w:r>
      <w:proofErr w:type="spellEnd"/>
      <w:r w:rsidRPr="00102B70">
        <w:rPr>
          <w:rFonts w:ascii="Garamond" w:hAnsi="Garamond"/>
          <w:i/>
          <w:iCs/>
        </w:rPr>
        <w:t xml:space="preserve"> </w:t>
      </w:r>
      <w:proofErr w:type="spellStart"/>
      <w:r w:rsidRPr="00102B70">
        <w:rPr>
          <w:rFonts w:ascii="Garamond" w:hAnsi="Garamond"/>
          <w:i/>
          <w:iCs/>
        </w:rPr>
        <w:t>Iberoamericano</w:t>
      </w:r>
      <w:proofErr w:type="spellEnd"/>
      <w:r w:rsidRPr="00102B70">
        <w:rPr>
          <w:rFonts w:ascii="Garamond" w:hAnsi="Garamond"/>
        </w:rPr>
        <w:t xml:space="preserve">, vol. 1, Madrid: </w:t>
      </w:r>
      <w:proofErr w:type="spellStart"/>
      <w:r w:rsidRPr="00102B70">
        <w:rPr>
          <w:rFonts w:ascii="Garamond" w:hAnsi="Garamond"/>
        </w:rPr>
        <w:t>Dykinson</w:t>
      </w:r>
      <w:proofErr w:type="spellEnd"/>
      <w:r w:rsidRPr="00102B70">
        <w:rPr>
          <w:rFonts w:ascii="Garamond" w:hAnsi="Garamond"/>
        </w:rPr>
        <w:t>, p. 21-30, 2019.</w:t>
      </w:r>
    </w:p>
    <w:p w14:paraId="0A32A6D0" w14:textId="6AD31F6A" w:rsidR="002C784B" w:rsidRPr="00102B70" w:rsidRDefault="002C784B" w:rsidP="002C784B">
      <w:pPr>
        <w:pStyle w:val="Textodenotaderodap"/>
        <w:ind w:firstLine="0"/>
        <w:rPr>
          <w:rFonts w:ascii="Garamond" w:hAnsi="Garamond"/>
          <w:sz w:val="24"/>
          <w:szCs w:val="24"/>
          <w:lang w:val="es-ES_tradnl"/>
        </w:rPr>
      </w:pPr>
      <w:r w:rsidRPr="00102B70">
        <w:rPr>
          <w:rFonts w:ascii="Garamond" w:hAnsi="Garamond"/>
          <w:sz w:val="24"/>
          <w:szCs w:val="24"/>
          <w:lang w:val="es-ES_tradnl"/>
        </w:rPr>
        <w:t xml:space="preserve">HERRERO DE MIÑON, Miguel. “La constitución económica: desde la ambigüedad a la integración”, in </w:t>
      </w:r>
      <w:r w:rsidRPr="00102B70">
        <w:rPr>
          <w:rFonts w:ascii="Garamond" w:hAnsi="Garamond"/>
          <w:i/>
          <w:iCs/>
          <w:sz w:val="24"/>
          <w:szCs w:val="24"/>
          <w:lang w:val="es-ES_tradnl"/>
        </w:rPr>
        <w:t>Revista Española de Derecho Constitucional</w:t>
      </w:r>
      <w:r w:rsidRPr="00102B70">
        <w:rPr>
          <w:rFonts w:ascii="Garamond" w:hAnsi="Garamond"/>
          <w:sz w:val="24"/>
          <w:szCs w:val="24"/>
          <w:lang w:val="es-ES_tradnl"/>
        </w:rPr>
        <w:t>, ano 19, n. 57, set.-</w:t>
      </w:r>
      <w:proofErr w:type="spellStart"/>
      <w:r w:rsidRPr="00102B70">
        <w:rPr>
          <w:rFonts w:ascii="Garamond" w:hAnsi="Garamond"/>
          <w:sz w:val="24"/>
          <w:szCs w:val="24"/>
          <w:lang w:val="es-ES_tradnl"/>
        </w:rPr>
        <w:t>dez</w:t>
      </w:r>
      <w:proofErr w:type="spellEnd"/>
      <w:r w:rsidRPr="00102B70">
        <w:rPr>
          <w:rFonts w:ascii="Garamond" w:hAnsi="Garamond"/>
          <w:sz w:val="24"/>
          <w:szCs w:val="24"/>
          <w:lang w:val="es-ES_tradnl"/>
        </w:rPr>
        <w:t>., 1999, p.11-32.</w:t>
      </w:r>
    </w:p>
    <w:p w14:paraId="40690DF5" w14:textId="2CD9272D" w:rsidR="006441E9" w:rsidRPr="00102B70" w:rsidRDefault="006441E9" w:rsidP="006441E9">
      <w:pPr>
        <w:pStyle w:val="Textodenotaderodap"/>
        <w:spacing w:before="120" w:after="120"/>
        <w:ind w:firstLine="0"/>
        <w:rPr>
          <w:rFonts w:ascii="Garamond" w:hAnsi="Garamond"/>
          <w:sz w:val="24"/>
          <w:szCs w:val="24"/>
        </w:rPr>
      </w:pPr>
      <w:r w:rsidRPr="00102B70">
        <w:rPr>
          <w:rFonts w:ascii="Garamond" w:hAnsi="Garamond"/>
          <w:sz w:val="24"/>
          <w:szCs w:val="24"/>
        </w:rPr>
        <w:t>JOERGES, Christian.</w:t>
      </w:r>
      <w:r w:rsidRPr="00102B70">
        <w:rPr>
          <w:rFonts w:ascii="Garamond" w:hAnsi="Garamond"/>
          <w:sz w:val="24"/>
          <w:szCs w:val="24"/>
          <w:lang w:val="es-ES_tradnl"/>
        </w:rPr>
        <w:t xml:space="preserve"> “¿Qué tiene de </w:t>
      </w:r>
      <w:proofErr w:type="gramStart"/>
      <w:r w:rsidRPr="00102B70">
        <w:rPr>
          <w:rFonts w:ascii="Garamond" w:hAnsi="Garamond"/>
          <w:sz w:val="24"/>
          <w:szCs w:val="24"/>
          <w:lang w:val="es-ES_tradnl"/>
        </w:rPr>
        <w:t>social-demócrata</w:t>
      </w:r>
      <w:proofErr w:type="gramEnd"/>
      <w:r w:rsidRPr="00102B70">
        <w:rPr>
          <w:rFonts w:ascii="Garamond" w:hAnsi="Garamond"/>
          <w:sz w:val="24"/>
          <w:szCs w:val="24"/>
          <w:lang w:val="es-ES_tradnl"/>
        </w:rPr>
        <w:t xml:space="preserve"> la constitución económica europea?”, in: </w:t>
      </w:r>
      <w:r w:rsidRPr="00102B70">
        <w:rPr>
          <w:rFonts w:ascii="Garamond" w:hAnsi="Garamond"/>
          <w:i/>
          <w:iCs/>
          <w:sz w:val="24"/>
          <w:szCs w:val="24"/>
          <w:lang w:val="es-ES_tradnl"/>
        </w:rPr>
        <w:t>Revista Española de Derecho Constitucional</w:t>
      </w:r>
      <w:r w:rsidRPr="00102B70">
        <w:rPr>
          <w:rFonts w:ascii="Garamond" w:hAnsi="Garamond"/>
          <w:sz w:val="24"/>
          <w:szCs w:val="24"/>
          <w:lang w:val="es-ES_tradnl"/>
        </w:rPr>
        <w:t>, nº. 73, 2005, p. 9-53.</w:t>
      </w:r>
    </w:p>
    <w:p w14:paraId="00000088" w14:textId="401A5A46" w:rsidR="00103C5A" w:rsidRPr="00102B70" w:rsidRDefault="00981449" w:rsidP="002C784B">
      <w:pPr>
        <w:spacing w:after="120" w:line="240" w:lineRule="auto"/>
        <w:ind w:firstLine="0"/>
        <w:rPr>
          <w:rFonts w:ascii="Garamond" w:hAnsi="Garamond"/>
        </w:rPr>
      </w:pPr>
      <w:r w:rsidRPr="00102B70">
        <w:rPr>
          <w:rFonts w:ascii="Garamond" w:hAnsi="Garamond"/>
        </w:rPr>
        <w:t>MACHADO, Maíra Rocha. O estudo de caso na pesquisa em direito. In: MACHADO, Maíra Rocha (Org.). </w:t>
      </w:r>
      <w:r w:rsidRPr="00102B70">
        <w:rPr>
          <w:rFonts w:ascii="Garamond" w:hAnsi="Garamond"/>
          <w:bCs/>
          <w:i/>
          <w:iCs/>
        </w:rPr>
        <w:t>Pesquisar empiricamente o direito</w:t>
      </w:r>
      <w:r w:rsidRPr="00102B70">
        <w:rPr>
          <w:rFonts w:ascii="Garamond" w:hAnsi="Garamond"/>
          <w:b/>
        </w:rPr>
        <w:t>. </w:t>
      </w:r>
      <w:r w:rsidRPr="00102B70">
        <w:rPr>
          <w:rFonts w:ascii="Garamond" w:hAnsi="Garamond"/>
        </w:rPr>
        <w:t xml:space="preserve">São Paulo: Rede de Estudos Empíricos em Direito, 2017. Cap. 11. p. 357-389. Disponível em: http://reedpesquisa.org/publicacoes/volume-2-no-1-2014/. Acesso em: </w:t>
      </w:r>
      <w:r w:rsidR="008F2E0A" w:rsidRPr="00102B70">
        <w:rPr>
          <w:rFonts w:ascii="Garamond" w:hAnsi="Garamond"/>
        </w:rPr>
        <w:t>24</w:t>
      </w:r>
      <w:r w:rsidRPr="00102B70">
        <w:rPr>
          <w:rFonts w:ascii="Garamond" w:hAnsi="Garamond"/>
        </w:rPr>
        <w:t xml:space="preserve"> </w:t>
      </w:r>
      <w:r w:rsidR="00FA10AE" w:rsidRPr="00102B70">
        <w:rPr>
          <w:rFonts w:ascii="Garamond" w:hAnsi="Garamond"/>
        </w:rPr>
        <w:t>abril</w:t>
      </w:r>
      <w:r w:rsidRPr="00102B70">
        <w:rPr>
          <w:rFonts w:ascii="Garamond" w:hAnsi="Garamond"/>
        </w:rPr>
        <w:t>. 20</w:t>
      </w:r>
      <w:r w:rsidR="00FA10AE" w:rsidRPr="00102B70">
        <w:rPr>
          <w:rFonts w:ascii="Garamond" w:hAnsi="Garamond"/>
        </w:rPr>
        <w:t>20</w:t>
      </w:r>
      <w:r w:rsidRPr="00102B70">
        <w:rPr>
          <w:rFonts w:ascii="Garamond" w:hAnsi="Garamond"/>
        </w:rPr>
        <w:t>.</w:t>
      </w:r>
    </w:p>
    <w:p w14:paraId="4E060CA4" w14:textId="2CB86D42" w:rsidR="00B44DE3" w:rsidRPr="00102B70" w:rsidRDefault="00B44DE3" w:rsidP="00B44DE3">
      <w:pPr>
        <w:pStyle w:val="Textodenotaderodap"/>
        <w:spacing w:before="120" w:after="120"/>
        <w:ind w:firstLine="0"/>
        <w:rPr>
          <w:rFonts w:ascii="Garamond" w:hAnsi="Garamond"/>
          <w:sz w:val="24"/>
          <w:szCs w:val="24"/>
          <w:lang w:val="pt-PT"/>
        </w:rPr>
      </w:pPr>
      <w:r w:rsidRPr="00102B70">
        <w:rPr>
          <w:rFonts w:ascii="Garamond" w:hAnsi="Garamond"/>
          <w:sz w:val="24"/>
          <w:szCs w:val="24"/>
          <w:lang w:val="es-ES_tradnl"/>
        </w:rPr>
        <w:t xml:space="preserve">MOZOS Y DE LOS MOZOS, José Luis de los. </w:t>
      </w:r>
      <w:r w:rsidRPr="00102B70">
        <w:rPr>
          <w:rFonts w:ascii="Garamond" w:hAnsi="Garamond"/>
          <w:i/>
          <w:iCs/>
          <w:sz w:val="24"/>
          <w:szCs w:val="24"/>
          <w:lang w:val="es-ES_tradnl"/>
        </w:rPr>
        <w:t>El principio de la buena fe. Sus aplicaciones pr</w:t>
      </w:r>
      <w:r w:rsidR="00FB36DD">
        <w:rPr>
          <w:rFonts w:ascii="Garamond" w:hAnsi="Garamond"/>
          <w:i/>
          <w:iCs/>
          <w:sz w:val="24"/>
          <w:szCs w:val="24"/>
          <w:lang w:val="es-ES_tradnl"/>
        </w:rPr>
        <w:t>á</w:t>
      </w:r>
      <w:r w:rsidRPr="00102B70">
        <w:rPr>
          <w:rFonts w:ascii="Garamond" w:hAnsi="Garamond"/>
          <w:i/>
          <w:iCs/>
          <w:sz w:val="24"/>
          <w:szCs w:val="24"/>
          <w:lang w:val="es-ES_tradnl"/>
        </w:rPr>
        <w:t>cticas en el Derecho Civil Espa</w:t>
      </w:r>
      <w:r w:rsidR="00FB36DD">
        <w:rPr>
          <w:rFonts w:ascii="Garamond" w:hAnsi="Garamond"/>
          <w:i/>
          <w:iCs/>
          <w:sz w:val="24"/>
          <w:szCs w:val="24"/>
          <w:lang w:val="es-ES_tradnl"/>
        </w:rPr>
        <w:t>ñ</w:t>
      </w:r>
      <w:r w:rsidRPr="00102B70">
        <w:rPr>
          <w:rFonts w:ascii="Garamond" w:hAnsi="Garamond"/>
          <w:i/>
          <w:iCs/>
          <w:sz w:val="24"/>
          <w:szCs w:val="24"/>
          <w:lang w:val="es-ES_tradnl"/>
        </w:rPr>
        <w:t>ol</w:t>
      </w:r>
      <w:r w:rsidRPr="00102B70">
        <w:rPr>
          <w:rFonts w:ascii="Garamond" w:hAnsi="Garamond"/>
          <w:sz w:val="24"/>
          <w:szCs w:val="24"/>
          <w:lang w:val="es-ES_tradnl"/>
        </w:rPr>
        <w:t>, Ed. Bosch, 1a edici</w:t>
      </w:r>
      <w:r w:rsidR="00FB36DD">
        <w:rPr>
          <w:rFonts w:ascii="Garamond" w:hAnsi="Garamond"/>
          <w:sz w:val="24"/>
          <w:szCs w:val="24"/>
          <w:lang w:val="es-ES_tradnl"/>
        </w:rPr>
        <w:t>ó</w:t>
      </w:r>
      <w:r w:rsidRPr="00102B70">
        <w:rPr>
          <w:rFonts w:ascii="Garamond" w:hAnsi="Garamond"/>
          <w:sz w:val="24"/>
          <w:szCs w:val="24"/>
          <w:lang w:val="es-ES_tradnl"/>
        </w:rPr>
        <w:t>n, Barcelona, 1965.</w:t>
      </w:r>
    </w:p>
    <w:p w14:paraId="0000008A" w14:textId="18DEDBCD" w:rsidR="00103C5A" w:rsidRPr="00102B70" w:rsidRDefault="002C784B" w:rsidP="002C784B">
      <w:pPr>
        <w:pStyle w:val="NormalWeb"/>
        <w:spacing w:before="0" w:beforeAutospacing="0" w:after="120" w:afterAutospacing="0"/>
        <w:jc w:val="both"/>
        <w:rPr>
          <w:rFonts w:ascii="Garamond" w:hAnsi="Garamond"/>
        </w:rPr>
      </w:pPr>
      <w:r w:rsidRPr="00102B70">
        <w:rPr>
          <w:rFonts w:ascii="Garamond" w:hAnsi="Garamond"/>
        </w:rPr>
        <w:t xml:space="preserve">SAIZ MORENO, Fernando. </w:t>
      </w:r>
      <w:r w:rsidR="008F2E0A" w:rsidRPr="00102B70">
        <w:rPr>
          <w:rFonts w:ascii="Garamond" w:hAnsi="Garamond"/>
        </w:rPr>
        <w:t>“</w:t>
      </w:r>
      <w:proofErr w:type="spellStart"/>
      <w:r w:rsidRPr="00102B70">
        <w:rPr>
          <w:rFonts w:ascii="Garamond" w:hAnsi="Garamond"/>
        </w:rPr>
        <w:t>Orden</w:t>
      </w:r>
      <w:proofErr w:type="spellEnd"/>
      <w:r w:rsidRPr="00102B70">
        <w:rPr>
          <w:rFonts w:ascii="Garamond" w:hAnsi="Garamond"/>
        </w:rPr>
        <w:t xml:space="preserve"> público económico y </w:t>
      </w:r>
      <w:proofErr w:type="spellStart"/>
      <w:r w:rsidRPr="00102B70">
        <w:rPr>
          <w:rFonts w:ascii="Garamond" w:hAnsi="Garamond"/>
        </w:rPr>
        <w:t>restricciones</w:t>
      </w:r>
      <w:proofErr w:type="spellEnd"/>
      <w:r w:rsidRPr="00102B70">
        <w:rPr>
          <w:rFonts w:ascii="Garamond" w:hAnsi="Garamond"/>
        </w:rPr>
        <w:t xml:space="preserve"> de la </w:t>
      </w:r>
      <w:proofErr w:type="spellStart"/>
      <w:r w:rsidRPr="00102B70">
        <w:rPr>
          <w:rFonts w:ascii="Garamond" w:hAnsi="Garamond"/>
        </w:rPr>
        <w:t>competencia</w:t>
      </w:r>
      <w:proofErr w:type="spellEnd"/>
      <w:r w:rsidR="008F2E0A" w:rsidRPr="00102B70">
        <w:rPr>
          <w:rFonts w:ascii="Garamond" w:hAnsi="Garamond"/>
        </w:rPr>
        <w:t>”</w:t>
      </w:r>
      <w:r w:rsidRPr="00102B70">
        <w:rPr>
          <w:rFonts w:ascii="Garamond" w:hAnsi="Garamond"/>
        </w:rPr>
        <w:t xml:space="preserve">, in:  </w:t>
      </w:r>
      <w:r w:rsidRPr="00102B70">
        <w:rPr>
          <w:rFonts w:ascii="Garamond" w:hAnsi="Garamond"/>
          <w:i/>
          <w:iCs/>
        </w:rPr>
        <w:t xml:space="preserve">Revista de </w:t>
      </w:r>
      <w:proofErr w:type="spellStart"/>
      <w:r w:rsidRPr="00102B70">
        <w:rPr>
          <w:rFonts w:ascii="Garamond" w:hAnsi="Garamond"/>
          <w:i/>
          <w:iCs/>
        </w:rPr>
        <w:t>Administración</w:t>
      </w:r>
      <w:proofErr w:type="spellEnd"/>
      <w:r w:rsidRPr="00102B70">
        <w:rPr>
          <w:rFonts w:ascii="Garamond" w:hAnsi="Garamond"/>
          <w:i/>
          <w:iCs/>
        </w:rPr>
        <w:t xml:space="preserve"> Públic</w:t>
      </w:r>
      <w:r w:rsidRPr="00102B70">
        <w:rPr>
          <w:rFonts w:ascii="Garamond" w:hAnsi="Garamond"/>
        </w:rPr>
        <w:t xml:space="preserve">a, </w:t>
      </w:r>
      <w:proofErr w:type="spellStart"/>
      <w:r w:rsidRPr="00102B70">
        <w:rPr>
          <w:rFonts w:ascii="Garamond" w:hAnsi="Garamond"/>
        </w:rPr>
        <w:t>Sep</w:t>
      </w:r>
      <w:proofErr w:type="spellEnd"/>
      <w:r w:rsidRPr="00102B70">
        <w:rPr>
          <w:rFonts w:ascii="Garamond" w:hAnsi="Garamond"/>
        </w:rPr>
        <w:t xml:space="preserve"> 1, 1977, p. 597-643.</w:t>
      </w:r>
    </w:p>
    <w:p w14:paraId="2AC4ADC0" w14:textId="37EF8D73" w:rsidR="00072C3F" w:rsidRPr="00102B70" w:rsidRDefault="00072C3F" w:rsidP="002C784B">
      <w:pPr>
        <w:spacing w:after="120" w:line="240" w:lineRule="auto"/>
        <w:ind w:firstLine="0"/>
        <w:rPr>
          <w:rFonts w:ascii="Garamond" w:hAnsi="Garamond"/>
          <w:lang w:val="es-ES_tradnl"/>
        </w:rPr>
      </w:pPr>
      <w:r w:rsidRPr="00102B70">
        <w:rPr>
          <w:rFonts w:ascii="Garamond" w:hAnsi="Garamond"/>
        </w:rPr>
        <w:t>TREMPS, Pablo Pérez</w:t>
      </w:r>
      <w:r w:rsidRPr="00102B70">
        <w:rPr>
          <w:rFonts w:ascii="Garamond" w:hAnsi="Garamond"/>
          <w:lang w:val="es-ES_tradnl"/>
        </w:rPr>
        <w:t xml:space="preserve">. “Constitución Española y Unión Europea”, in: </w:t>
      </w:r>
      <w:r w:rsidRPr="00102B70">
        <w:rPr>
          <w:rFonts w:ascii="Garamond" w:hAnsi="Garamond"/>
          <w:i/>
          <w:iCs/>
          <w:lang w:val="es-ES_tradnl"/>
        </w:rPr>
        <w:t>Revista Española de Derecho Constitucional</w:t>
      </w:r>
      <w:r w:rsidRPr="00102B70">
        <w:rPr>
          <w:rFonts w:ascii="Garamond" w:hAnsi="Garamond"/>
          <w:lang w:val="es-ES_tradnl"/>
        </w:rPr>
        <w:t>, no. 71, 2004, pp. 103-121.</w:t>
      </w:r>
    </w:p>
    <w:p w14:paraId="6AB27FB5" w14:textId="2A7A666B" w:rsidR="005E3932" w:rsidRPr="00102B70" w:rsidRDefault="005E3932" w:rsidP="005E3932">
      <w:pPr>
        <w:ind w:firstLine="0"/>
        <w:rPr>
          <w:rFonts w:ascii="Garamond" w:hAnsi="Garamond"/>
        </w:rPr>
      </w:pPr>
      <w:r w:rsidRPr="00102B70">
        <w:rPr>
          <w:rFonts w:ascii="Garamond" w:hAnsi="Garamond"/>
        </w:rPr>
        <w:t xml:space="preserve">VEIGA, Fábio da Silva; GUTINIEKI, João Otávio </w:t>
      </w:r>
      <w:proofErr w:type="spellStart"/>
      <w:r w:rsidRPr="00102B70">
        <w:rPr>
          <w:rFonts w:ascii="Garamond" w:hAnsi="Garamond"/>
        </w:rPr>
        <w:t>Bacchi</w:t>
      </w:r>
      <w:proofErr w:type="spellEnd"/>
      <w:r w:rsidRPr="00102B70">
        <w:rPr>
          <w:rFonts w:ascii="Garamond" w:hAnsi="Garamond"/>
        </w:rPr>
        <w:t xml:space="preserve">. </w:t>
      </w:r>
      <w:r w:rsidR="000E1761" w:rsidRPr="00102B70">
        <w:rPr>
          <w:rFonts w:ascii="Garamond" w:hAnsi="Garamond"/>
        </w:rPr>
        <w:t>“</w:t>
      </w:r>
      <w:r w:rsidRPr="00102B70">
        <w:rPr>
          <w:rFonts w:ascii="Garamond" w:hAnsi="Garamond"/>
        </w:rPr>
        <w:t>Estruturalismo, Desenvolvimento e Legislação Comercial</w:t>
      </w:r>
      <w:r w:rsidR="000E1761" w:rsidRPr="00102B70">
        <w:rPr>
          <w:rFonts w:ascii="Garamond" w:hAnsi="Garamond"/>
        </w:rPr>
        <w:t>”</w:t>
      </w:r>
      <w:r w:rsidRPr="00102B70">
        <w:rPr>
          <w:rFonts w:ascii="Garamond" w:hAnsi="Garamond"/>
        </w:rPr>
        <w:t xml:space="preserve">, in: </w:t>
      </w:r>
      <w:r w:rsidRPr="00102B70">
        <w:rPr>
          <w:rFonts w:ascii="Garamond" w:hAnsi="Garamond"/>
          <w:i/>
          <w:iCs/>
        </w:rPr>
        <w:t>Revista Jurídica</w:t>
      </w:r>
      <w:r w:rsidRPr="00102B70">
        <w:rPr>
          <w:rFonts w:ascii="Garamond" w:hAnsi="Garamond"/>
        </w:rPr>
        <w:t>, vol. 2, n. 55, 2019, p. 157-176.  e-ISSN: 2316-753X.</w:t>
      </w:r>
    </w:p>
    <w:p w14:paraId="254A67BF" w14:textId="75FB2FE7" w:rsidR="005E3932" w:rsidRPr="00102B70" w:rsidRDefault="00972E43" w:rsidP="00FB36DD">
      <w:pPr>
        <w:spacing w:after="120" w:line="240" w:lineRule="auto"/>
        <w:ind w:firstLine="0"/>
        <w:rPr>
          <w:rFonts w:ascii="Garamond" w:hAnsi="Garamond"/>
        </w:rPr>
      </w:pPr>
      <w:r w:rsidRPr="00102B70">
        <w:rPr>
          <w:rFonts w:ascii="Garamond" w:hAnsi="Garamond"/>
        </w:rPr>
        <w:t xml:space="preserve">VENÂNCIO FILHO, Alberto. </w:t>
      </w:r>
      <w:r w:rsidRPr="00102B70">
        <w:rPr>
          <w:rFonts w:ascii="Garamond" w:hAnsi="Garamond"/>
          <w:i/>
          <w:iCs/>
        </w:rPr>
        <w:t>A intervenção do Estado no domínio econômico</w:t>
      </w:r>
      <w:r w:rsidRPr="00102B70">
        <w:rPr>
          <w:rFonts w:ascii="Garamond" w:hAnsi="Garamond"/>
        </w:rPr>
        <w:t xml:space="preserve">: o direito público econômico no Brasil. Ed. </w:t>
      </w:r>
      <w:proofErr w:type="spellStart"/>
      <w:r w:rsidRPr="00102B70">
        <w:rPr>
          <w:rFonts w:ascii="Garamond" w:hAnsi="Garamond"/>
        </w:rPr>
        <w:t>Fac-simile</w:t>
      </w:r>
      <w:proofErr w:type="spellEnd"/>
      <w:r w:rsidRPr="00102B70">
        <w:rPr>
          <w:rFonts w:ascii="Garamond" w:hAnsi="Garamond"/>
        </w:rPr>
        <w:t>. Rio de Janeiro: Editora Renovar, 1998.</w:t>
      </w:r>
    </w:p>
    <w:sectPr w:rsidR="005E3932" w:rsidRPr="00102B70" w:rsidSect="00BF178C">
      <w:footerReference w:type="default" r:id="rId8"/>
      <w:pgSz w:w="11906" w:h="16838"/>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B02C" w14:textId="77777777" w:rsidR="00600A66" w:rsidRDefault="00600A66">
      <w:pPr>
        <w:spacing w:line="240" w:lineRule="auto"/>
      </w:pPr>
      <w:r>
        <w:separator/>
      </w:r>
    </w:p>
  </w:endnote>
  <w:endnote w:type="continuationSeparator" w:id="0">
    <w:p w14:paraId="367EE735" w14:textId="77777777" w:rsidR="00600A66" w:rsidRDefault="00600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04EA" w14:textId="77777777" w:rsidR="00A269E9" w:rsidRDefault="00A269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CDC8F" w14:textId="77777777" w:rsidR="00600A66" w:rsidRDefault="00600A66">
      <w:pPr>
        <w:spacing w:line="240" w:lineRule="auto"/>
      </w:pPr>
      <w:r>
        <w:separator/>
      </w:r>
    </w:p>
  </w:footnote>
  <w:footnote w:type="continuationSeparator" w:id="0">
    <w:p w14:paraId="35F05984" w14:textId="77777777" w:rsidR="00600A66" w:rsidRDefault="00600A66">
      <w:pPr>
        <w:spacing w:line="240" w:lineRule="auto"/>
      </w:pPr>
      <w:r>
        <w:continuationSeparator/>
      </w:r>
    </w:p>
  </w:footnote>
  <w:footnote w:id="1">
    <w:p w14:paraId="65A00653" w14:textId="441D962C" w:rsidR="00A269E9" w:rsidRPr="000E1761" w:rsidRDefault="00A269E9" w:rsidP="000E1761">
      <w:pPr>
        <w:pStyle w:val="Textodenotaderodap"/>
        <w:ind w:firstLine="0"/>
        <w:rPr>
          <w:rFonts w:ascii="Garamond" w:hAnsi="Garamond"/>
        </w:rPr>
      </w:pPr>
      <w:r w:rsidRPr="000E1761">
        <w:rPr>
          <w:rStyle w:val="Refdenotaderodap"/>
          <w:rFonts w:ascii="Garamond" w:hAnsi="Garamond"/>
        </w:rPr>
        <w:footnoteRef/>
      </w:r>
      <w:r w:rsidRPr="000E1761">
        <w:rPr>
          <w:rFonts w:ascii="Garamond" w:hAnsi="Garamond"/>
        </w:rPr>
        <w:t xml:space="preserve"> Professor Doutor de Direito Empresarial da Universidade de Almería, Espanha. Doutor em Direito Empresarial pela Universidade de Vigo – Prêmio Extraordinário de Tese de doutorado. Pesquisador da CAPES no Exterior – Universidade de Alcalá, Madrid. Presidente do Instituto Iberoamericano de Estudos Jurídicos – </w:t>
      </w:r>
      <w:proofErr w:type="spellStart"/>
      <w:r w:rsidRPr="000E1761">
        <w:rPr>
          <w:rFonts w:ascii="Garamond" w:hAnsi="Garamond"/>
        </w:rPr>
        <w:t>Iberojur</w:t>
      </w:r>
      <w:proofErr w:type="spellEnd"/>
      <w:r w:rsidRPr="000E1761">
        <w:rPr>
          <w:rFonts w:ascii="Garamond" w:hAnsi="Garamond"/>
        </w:rPr>
        <w:t>. E-mail: fabiojus@ual.es</w:t>
      </w:r>
    </w:p>
  </w:footnote>
  <w:footnote w:id="2">
    <w:p w14:paraId="13066BCA" w14:textId="2911B7C9" w:rsidR="00A269E9" w:rsidRPr="000E1761" w:rsidRDefault="00A269E9" w:rsidP="000E1761">
      <w:pPr>
        <w:pStyle w:val="Textodenotaderodap"/>
        <w:ind w:firstLine="0"/>
        <w:rPr>
          <w:rFonts w:ascii="Garamond" w:hAnsi="Garamond"/>
          <w:lang w:val="pt-PT"/>
        </w:rPr>
      </w:pPr>
      <w:r w:rsidRPr="000E1761">
        <w:rPr>
          <w:rStyle w:val="Refdenotaderodap"/>
          <w:rFonts w:ascii="Garamond" w:hAnsi="Garamond"/>
        </w:rPr>
        <w:footnoteRef/>
      </w:r>
      <w:r w:rsidRPr="000E1761">
        <w:rPr>
          <w:rFonts w:ascii="Garamond" w:hAnsi="Garamond"/>
        </w:rPr>
        <w:t xml:space="preserve"> Mestrando em Direito Econômico e Financeiro na Faculdade de Direito da Universidade de São Paulo. Membro da Área Científica de Direito Comercial do Instituto Iberoamericano de Estudos Jurídicos. </w:t>
      </w:r>
      <w:r w:rsidRPr="000E1761">
        <w:rPr>
          <w:rFonts w:ascii="Garamond" w:hAnsi="Garamond"/>
          <w:lang w:val="pt-PT"/>
        </w:rPr>
        <w:t xml:space="preserve">Pesquisador e Monitor acadêmico na Fundação Getúlio Vargas (FGV Direito SP). </w:t>
      </w:r>
      <w:r w:rsidRPr="000E1761">
        <w:rPr>
          <w:rFonts w:ascii="Garamond" w:hAnsi="Garamond"/>
        </w:rPr>
        <w:t>E-mail: jobglaw@gmail.com</w:t>
      </w:r>
    </w:p>
  </w:footnote>
  <w:footnote w:id="3">
    <w:p w14:paraId="55B6F9B4" w14:textId="77777777" w:rsidR="00A269E9" w:rsidRPr="000E1761" w:rsidRDefault="00A269E9" w:rsidP="000E1761">
      <w:pPr>
        <w:pStyle w:val="Textodenotaderodap"/>
        <w:ind w:firstLine="0"/>
        <w:rPr>
          <w:rFonts w:ascii="Garamond" w:hAnsi="Garamond"/>
          <w:lang w:val="pt-PT"/>
        </w:rPr>
      </w:pPr>
      <w:r w:rsidRPr="000E1761">
        <w:rPr>
          <w:rStyle w:val="Refdenotaderodap"/>
          <w:rFonts w:ascii="Garamond" w:hAnsi="Garamond"/>
        </w:rPr>
        <w:footnoteRef/>
      </w:r>
      <w:r w:rsidRPr="000E1761">
        <w:rPr>
          <w:rFonts w:ascii="Garamond" w:hAnsi="Garamond"/>
        </w:rPr>
        <w:t xml:space="preserve"> </w:t>
      </w:r>
      <w:r w:rsidRPr="000E1761">
        <w:rPr>
          <w:rFonts w:ascii="Garamond" w:hAnsi="Garamond"/>
          <w:lang w:val="pt-PT"/>
        </w:rPr>
        <w:t xml:space="preserve">O artigo 38 da Constituição Espanhola dispõe: </w:t>
      </w:r>
      <w:r w:rsidRPr="000E1761">
        <w:rPr>
          <w:rFonts w:ascii="Garamond" w:hAnsi="Garamond" w:cs="Calibri"/>
          <w:lang w:val="pt-PT"/>
        </w:rPr>
        <w:t>«</w:t>
      </w:r>
      <w:r w:rsidRPr="000E1761">
        <w:rPr>
          <w:rFonts w:ascii="Garamond" w:hAnsi="Garamond"/>
          <w:lang w:val="es-ES"/>
        </w:rPr>
        <w:t>Se reconoce la libertad de empresa en el marco de la economía de mercado. Los poderes públicos garantizan y protegen su ejercicio y la defensa de la productividad, de acuerdo con las exigencias de la economía general y, en su caso, de la planificación</w:t>
      </w:r>
      <w:r w:rsidRPr="000E1761">
        <w:rPr>
          <w:rFonts w:ascii="Garamond" w:hAnsi="Garamond" w:cs="Calibri"/>
        </w:rPr>
        <w:t>»</w:t>
      </w:r>
      <w:r w:rsidRPr="000E1761">
        <w:rPr>
          <w:rFonts w:ascii="Garamond" w:hAnsi="Garamond"/>
          <w:lang w:val="es-ES"/>
        </w:rPr>
        <w:t>.</w:t>
      </w:r>
    </w:p>
  </w:footnote>
  <w:footnote w:id="4">
    <w:p w14:paraId="67963F29" w14:textId="77777777" w:rsidR="00A269E9" w:rsidRPr="000E1761" w:rsidRDefault="00A269E9" w:rsidP="000E1761">
      <w:pPr>
        <w:pStyle w:val="Textodenotaderodap"/>
        <w:ind w:firstLine="0"/>
        <w:rPr>
          <w:rFonts w:ascii="Garamond" w:hAnsi="Garamond"/>
          <w:lang w:val="pt-PT"/>
        </w:rPr>
      </w:pPr>
      <w:r w:rsidRPr="000E1761">
        <w:rPr>
          <w:rStyle w:val="Refdenotaderodap"/>
          <w:rFonts w:ascii="Garamond" w:hAnsi="Garamond"/>
        </w:rPr>
        <w:footnoteRef/>
      </w:r>
      <w:r w:rsidRPr="000E1761">
        <w:rPr>
          <w:rFonts w:ascii="Garamond" w:hAnsi="Garamond"/>
        </w:rPr>
        <w:t xml:space="preserve"> </w:t>
      </w:r>
      <w:proofErr w:type="spellStart"/>
      <w:r w:rsidRPr="000E1761">
        <w:rPr>
          <w:rFonts w:ascii="Garamond" w:hAnsi="Garamond"/>
          <w:lang w:val="pt-PT"/>
        </w:rPr>
        <w:t>Art</w:t>
      </w:r>
      <w:proofErr w:type="spellEnd"/>
      <w:r w:rsidRPr="000E1761">
        <w:rPr>
          <w:rFonts w:ascii="Garamond" w:hAnsi="Garamond"/>
          <w:lang w:val="pt-PT"/>
        </w:rPr>
        <w:t xml:space="preserve">. 128, 1: </w:t>
      </w:r>
      <w:r w:rsidRPr="000E1761">
        <w:rPr>
          <w:rFonts w:ascii="Garamond" w:hAnsi="Garamond" w:cs="Calibri"/>
          <w:lang w:val="es-ES_tradnl"/>
        </w:rPr>
        <w:t>«</w:t>
      </w:r>
      <w:r w:rsidRPr="000E1761">
        <w:rPr>
          <w:rFonts w:ascii="Garamond" w:hAnsi="Garamond"/>
          <w:lang w:val="es-ES_tradnl"/>
        </w:rPr>
        <w:t>Toda la riqueza del país en sus distintas formas y sea cual fuere su titularidad está subordinada al interés general</w:t>
      </w:r>
      <w:r w:rsidRPr="000E1761">
        <w:rPr>
          <w:rFonts w:ascii="Garamond" w:hAnsi="Garamond" w:cs="Calibri"/>
          <w:lang w:val="es-ES_tradnl"/>
        </w:rPr>
        <w:t>»</w:t>
      </w:r>
      <w:r w:rsidRPr="000E1761">
        <w:rPr>
          <w:rFonts w:ascii="Garamond" w:hAnsi="Garamond"/>
          <w:lang w:val="es-ES_tradnl"/>
        </w:rPr>
        <w:t>.</w:t>
      </w:r>
    </w:p>
  </w:footnote>
  <w:footnote w:id="5">
    <w:p w14:paraId="0A0200C2" w14:textId="77777777" w:rsidR="00A269E9" w:rsidRPr="000E1761" w:rsidRDefault="00A269E9" w:rsidP="000E1761">
      <w:pPr>
        <w:pStyle w:val="Textodenotaderodap"/>
        <w:ind w:firstLine="0"/>
        <w:rPr>
          <w:rFonts w:ascii="Garamond" w:hAnsi="Garamond"/>
          <w:lang w:val="pt-PT"/>
        </w:rPr>
      </w:pPr>
      <w:r w:rsidRPr="000E1761">
        <w:rPr>
          <w:rStyle w:val="Refdenotaderodap"/>
          <w:rFonts w:ascii="Garamond" w:hAnsi="Garamond"/>
          <w:lang w:val="pt-PT"/>
        </w:rPr>
        <w:footnoteRef/>
      </w:r>
      <w:r w:rsidRPr="000E1761">
        <w:rPr>
          <w:rFonts w:ascii="Garamond" w:hAnsi="Garamond"/>
          <w:lang w:val="pt-PT"/>
        </w:rPr>
        <w:t xml:space="preserve"> Palavras de um dos pais da Constituição Espanhola de</w:t>
      </w:r>
      <w:r w:rsidRPr="000E1761">
        <w:rPr>
          <w:rFonts w:ascii="Garamond" w:hAnsi="Garamond"/>
        </w:rPr>
        <w:t xml:space="preserve"> 1978. </w:t>
      </w:r>
      <w:r w:rsidRPr="000E1761">
        <w:rPr>
          <w:rFonts w:ascii="Garamond" w:hAnsi="Garamond"/>
          <w:lang w:val="es-ES_tradnl"/>
        </w:rPr>
        <w:t xml:space="preserve">Cfr. HERRERO DE MIÑON, Miguel. “La constitución económica: desde la ambigüedad a la integración”, in </w:t>
      </w:r>
      <w:r w:rsidRPr="000E1761">
        <w:rPr>
          <w:rFonts w:ascii="Garamond" w:hAnsi="Garamond"/>
          <w:i/>
          <w:iCs/>
          <w:lang w:val="es-ES_tradnl"/>
        </w:rPr>
        <w:t>Revista Española de Derecho Constitucional</w:t>
      </w:r>
      <w:r w:rsidRPr="000E1761">
        <w:rPr>
          <w:rFonts w:ascii="Garamond" w:hAnsi="Garamond"/>
          <w:lang w:val="es-ES_tradnl"/>
        </w:rPr>
        <w:t>, ano 19, n. 57, set.-</w:t>
      </w:r>
      <w:proofErr w:type="spellStart"/>
      <w:r w:rsidRPr="000E1761">
        <w:rPr>
          <w:rFonts w:ascii="Garamond" w:hAnsi="Garamond"/>
          <w:lang w:val="es-ES_tradnl"/>
        </w:rPr>
        <w:t>dez</w:t>
      </w:r>
      <w:proofErr w:type="spellEnd"/>
      <w:r w:rsidRPr="000E1761">
        <w:rPr>
          <w:rFonts w:ascii="Garamond" w:hAnsi="Garamond"/>
          <w:lang w:val="es-ES_tradnl"/>
        </w:rPr>
        <w:t>., 1999, p.11-32.</w:t>
      </w:r>
    </w:p>
  </w:footnote>
  <w:footnote w:id="6">
    <w:p w14:paraId="6CBE46BF" w14:textId="56424DDC" w:rsidR="00A269E9" w:rsidRPr="000E1761" w:rsidRDefault="00A269E9" w:rsidP="000E1761">
      <w:pPr>
        <w:pStyle w:val="Textodenotaderodap"/>
        <w:ind w:firstLine="0"/>
        <w:rPr>
          <w:rFonts w:ascii="Garamond" w:hAnsi="Garamond"/>
        </w:rPr>
      </w:pPr>
      <w:r w:rsidRPr="000E1761">
        <w:rPr>
          <w:rStyle w:val="Refdenotaderodap"/>
          <w:rFonts w:ascii="Garamond" w:hAnsi="Garamond"/>
        </w:rPr>
        <w:footnoteRef/>
      </w:r>
      <w:r w:rsidRPr="000E1761">
        <w:rPr>
          <w:rFonts w:ascii="Garamond" w:hAnsi="Garamond"/>
        </w:rPr>
        <w:t xml:space="preserve"> Cfr. </w:t>
      </w:r>
      <w:r w:rsidRPr="000E1761">
        <w:rPr>
          <w:rFonts w:ascii="Garamond" w:hAnsi="Garamond"/>
          <w:lang w:val="es-ES_tradnl"/>
        </w:rPr>
        <w:t xml:space="preserve">HERRERO DE MIÑON, Miguel. “La constitución económica: desde la ambigüedad a la integración”, ob. cit., p 12. </w:t>
      </w:r>
      <w:r w:rsidRPr="000E1761">
        <w:rPr>
          <w:rFonts w:ascii="Garamond" w:hAnsi="Garamond"/>
          <w:lang w:val="pt-PT"/>
        </w:rPr>
        <w:t xml:space="preserve">O autor, na definição do </w:t>
      </w:r>
      <w:proofErr w:type="spellStart"/>
      <w:r w:rsidRPr="000E1761">
        <w:rPr>
          <w:rFonts w:ascii="Garamond" w:hAnsi="Garamond"/>
          <w:lang w:val="pt-PT"/>
        </w:rPr>
        <w:t>respectivo</w:t>
      </w:r>
      <w:proofErr w:type="spellEnd"/>
      <w:r w:rsidRPr="000E1761">
        <w:rPr>
          <w:rFonts w:ascii="Garamond" w:hAnsi="Garamond"/>
          <w:lang w:val="pt-PT"/>
        </w:rPr>
        <w:t xml:space="preserve"> conceito, cita </w:t>
      </w:r>
      <w:proofErr w:type="spellStart"/>
      <w:r w:rsidRPr="000E1761">
        <w:rPr>
          <w:rFonts w:ascii="Garamond" w:hAnsi="Garamond"/>
          <w:lang w:val="pt-PT"/>
        </w:rPr>
        <w:t>Lampert</w:t>
      </w:r>
      <w:proofErr w:type="spellEnd"/>
      <w:r w:rsidRPr="000E1761">
        <w:rPr>
          <w:rFonts w:ascii="Garamond" w:hAnsi="Garamond"/>
          <w:lang w:val="pt-PT"/>
        </w:rPr>
        <w:t xml:space="preserve"> (1965).</w:t>
      </w:r>
    </w:p>
  </w:footnote>
  <w:footnote w:id="7">
    <w:p w14:paraId="2E280AA2" w14:textId="77777777" w:rsidR="00A269E9" w:rsidRPr="000E1761" w:rsidRDefault="00A269E9" w:rsidP="000E1761">
      <w:pPr>
        <w:pStyle w:val="Textodenotaderodap"/>
        <w:ind w:firstLine="0"/>
        <w:rPr>
          <w:rFonts w:ascii="Garamond" w:hAnsi="Garamond"/>
          <w:lang w:val="pt-PT"/>
        </w:rPr>
      </w:pPr>
      <w:r w:rsidRPr="000E1761">
        <w:rPr>
          <w:rStyle w:val="Refdenotaderodap"/>
          <w:rFonts w:ascii="Garamond" w:hAnsi="Garamond"/>
        </w:rPr>
        <w:footnoteRef/>
      </w:r>
      <w:r w:rsidRPr="000E1761">
        <w:rPr>
          <w:rFonts w:ascii="Garamond" w:hAnsi="Garamond"/>
        </w:rPr>
        <w:t xml:space="preserve"> Cfr. HERRERO DE MIÑON, Miguel. “La </w:t>
      </w:r>
      <w:proofErr w:type="spellStart"/>
      <w:r w:rsidRPr="000E1761">
        <w:rPr>
          <w:rFonts w:ascii="Garamond" w:hAnsi="Garamond"/>
        </w:rPr>
        <w:t>constitución</w:t>
      </w:r>
      <w:proofErr w:type="spellEnd"/>
      <w:r w:rsidRPr="000E1761">
        <w:rPr>
          <w:rFonts w:ascii="Garamond" w:hAnsi="Garamond"/>
        </w:rPr>
        <w:t xml:space="preserve"> económica: desde </w:t>
      </w:r>
      <w:proofErr w:type="spellStart"/>
      <w:r w:rsidRPr="000E1761">
        <w:rPr>
          <w:rFonts w:ascii="Garamond" w:hAnsi="Garamond"/>
        </w:rPr>
        <w:t>la</w:t>
      </w:r>
      <w:proofErr w:type="spellEnd"/>
      <w:r w:rsidRPr="000E1761">
        <w:rPr>
          <w:rFonts w:ascii="Garamond" w:hAnsi="Garamond"/>
        </w:rPr>
        <w:t xml:space="preserve"> </w:t>
      </w:r>
      <w:proofErr w:type="spellStart"/>
      <w:r w:rsidRPr="000E1761">
        <w:rPr>
          <w:rFonts w:ascii="Garamond" w:hAnsi="Garamond"/>
        </w:rPr>
        <w:t>ambigüedad</w:t>
      </w:r>
      <w:proofErr w:type="spellEnd"/>
      <w:r w:rsidRPr="000E1761">
        <w:rPr>
          <w:rFonts w:ascii="Garamond" w:hAnsi="Garamond"/>
        </w:rPr>
        <w:t xml:space="preserve"> a </w:t>
      </w:r>
      <w:proofErr w:type="spellStart"/>
      <w:r w:rsidRPr="000E1761">
        <w:rPr>
          <w:rFonts w:ascii="Garamond" w:hAnsi="Garamond"/>
        </w:rPr>
        <w:t>la</w:t>
      </w:r>
      <w:proofErr w:type="spellEnd"/>
      <w:r w:rsidRPr="000E1761">
        <w:rPr>
          <w:rFonts w:ascii="Garamond" w:hAnsi="Garamond"/>
        </w:rPr>
        <w:t xml:space="preserve"> </w:t>
      </w:r>
      <w:proofErr w:type="spellStart"/>
      <w:r w:rsidRPr="000E1761">
        <w:rPr>
          <w:rFonts w:ascii="Garamond" w:hAnsi="Garamond"/>
        </w:rPr>
        <w:t>integración</w:t>
      </w:r>
      <w:proofErr w:type="spellEnd"/>
      <w:r w:rsidRPr="000E1761">
        <w:rPr>
          <w:rFonts w:ascii="Garamond" w:hAnsi="Garamond"/>
        </w:rPr>
        <w:t>”, ob. cit., p. 19.</w:t>
      </w:r>
      <w:r w:rsidRPr="000E1761">
        <w:rPr>
          <w:rFonts w:ascii="Garamond" w:hAnsi="Garamond"/>
          <w:lang w:val="pt-PT"/>
        </w:rPr>
        <w:t xml:space="preserve"> </w:t>
      </w:r>
    </w:p>
  </w:footnote>
  <w:footnote w:id="8">
    <w:p w14:paraId="512CB5F4" w14:textId="77777777" w:rsidR="00A269E9" w:rsidRPr="000E1761" w:rsidRDefault="00A269E9" w:rsidP="000E1761">
      <w:pPr>
        <w:pStyle w:val="NormalWeb"/>
        <w:spacing w:before="0" w:beforeAutospacing="0" w:after="0" w:afterAutospacing="0"/>
        <w:jc w:val="both"/>
        <w:rPr>
          <w:rFonts w:ascii="Garamond" w:eastAsiaTheme="minorHAnsi" w:hAnsi="Garamond" w:cstheme="minorBidi"/>
          <w:sz w:val="20"/>
          <w:szCs w:val="20"/>
          <w:lang w:eastAsia="en-US"/>
        </w:rPr>
      </w:pPr>
      <w:r w:rsidRPr="000E1761">
        <w:rPr>
          <w:rStyle w:val="Refdenotaderodap"/>
          <w:rFonts w:ascii="Garamond" w:hAnsi="Garamond"/>
          <w:sz w:val="20"/>
          <w:szCs w:val="20"/>
        </w:rPr>
        <w:footnoteRef/>
      </w:r>
      <w:r w:rsidRPr="000E1761">
        <w:rPr>
          <w:rFonts w:ascii="Garamond" w:hAnsi="Garamond"/>
          <w:sz w:val="20"/>
          <w:szCs w:val="20"/>
        </w:rPr>
        <w:t xml:space="preserve"> </w:t>
      </w:r>
      <w:r w:rsidRPr="000E1761">
        <w:rPr>
          <w:rFonts w:ascii="Garamond" w:eastAsiaTheme="minorHAnsi" w:hAnsi="Garamond" w:cstheme="minorBidi"/>
          <w:sz w:val="20"/>
          <w:szCs w:val="20"/>
          <w:lang w:eastAsia="en-US"/>
        </w:rPr>
        <w:t>Um dos questionamentos que o retrocitado autor faz é com relação aos limites relativos ao intervencionismo ou liberalismo na Constituição espanhola, assim pergunta: Agora, se a Constituição não é economicamente neutra entre intervencionismo e liberalismo, mas limita aquele em favor do último, até onde pode chegar a inibição dos poderes públicos dentro do modelo constitucional? Começa a responder invocando os princípios Reitores da Constituição (Título II, Cap. III) e as previsões de intervenção na economia (Título VII) que dão conteúdo à classificação do Estado como «social» (</w:t>
      </w:r>
      <w:proofErr w:type="spellStart"/>
      <w:r w:rsidRPr="000E1761">
        <w:rPr>
          <w:rFonts w:ascii="Garamond" w:eastAsiaTheme="minorHAnsi" w:hAnsi="Garamond" w:cstheme="minorBidi"/>
          <w:sz w:val="20"/>
          <w:szCs w:val="20"/>
          <w:lang w:eastAsia="en-US"/>
        </w:rPr>
        <w:t>art</w:t>
      </w:r>
      <w:proofErr w:type="spellEnd"/>
      <w:r w:rsidRPr="000E1761">
        <w:rPr>
          <w:rFonts w:ascii="Garamond" w:eastAsiaTheme="minorHAnsi" w:hAnsi="Garamond" w:cstheme="minorBidi"/>
          <w:sz w:val="20"/>
          <w:szCs w:val="20"/>
          <w:lang w:eastAsia="en-US"/>
        </w:rPr>
        <w:t>. 1.1 CE) e à cláusula do artigo 9.2 CE, assim como a interpretação do próprio Tribunal Constitucional (SS 189/1987, 222/1992 e 55/1994). No entanto, refere que a normatividade dos princípios Reitores são de índole diversa dos direitos e liberdades individuais, mas ainda assim não deve ser subvalorizada. Explica que a inclusão dos princípios Reitores e as previsões de intervenção na economia não foram elaboradas com acerto pelos constituintes (ele próprio foi um dos sete “pais da constituição”), mas pondera que não se deve descartá-los de forma tão simplista a ponto de descartar o pacto constitucional. Da mesma forma que a neutralidade econômica da Constituição não impediu que, a partir dos direitos fundamentais nele reconhecidos, surgisse um modelo econômico que, ao projetar nesse campo, o valor superior da liberdade consagra o mercado, parece lógico que os princípios e técnicas organizativas que respondem à qualificação do «social» como expressão do valor superior da justiça (</w:t>
      </w:r>
      <w:proofErr w:type="spellStart"/>
      <w:r w:rsidRPr="000E1761">
        <w:rPr>
          <w:rFonts w:ascii="Garamond" w:eastAsiaTheme="minorHAnsi" w:hAnsi="Garamond" w:cstheme="minorBidi"/>
          <w:sz w:val="20"/>
          <w:szCs w:val="20"/>
          <w:lang w:eastAsia="en-US"/>
        </w:rPr>
        <w:t>art</w:t>
      </w:r>
      <w:proofErr w:type="spellEnd"/>
      <w:r w:rsidRPr="000E1761">
        <w:rPr>
          <w:rFonts w:ascii="Garamond" w:eastAsiaTheme="minorHAnsi" w:hAnsi="Garamond" w:cstheme="minorBidi"/>
          <w:sz w:val="20"/>
          <w:szCs w:val="20"/>
          <w:lang w:eastAsia="en-US"/>
        </w:rPr>
        <w:t xml:space="preserve">. 1.1 CE) também têm relevância na configuração do modelo mencionado. </w:t>
      </w:r>
      <w:proofErr w:type="spellStart"/>
      <w:r w:rsidRPr="000E1761">
        <w:rPr>
          <w:rFonts w:ascii="Garamond" w:hAnsi="Garamond"/>
          <w:sz w:val="20"/>
          <w:szCs w:val="20"/>
        </w:rPr>
        <w:t>Cfr</w:t>
      </w:r>
      <w:proofErr w:type="spellEnd"/>
      <w:r w:rsidRPr="000E1761">
        <w:rPr>
          <w:rFonts w:ascii="Garamond" w:hAnsi="Garamond"/>
          <w:sz w:val="20"/>
          <w:szCs w:val="20"/>
        </w:rPr>
        <w:t xml:space="preserve">. HERRERO DE MIÑON, Miguel. “La </w:t>
      </w:r>
      <w:proofErr w:type="spellStart"/>
      <w:r w:rsidRPr="000E1761">
        <w:rPr>
          <w:rFonts w:ascii="Garamond" w:hAnsi="Garamond"/>
          <w:sz w:val="20"/>
          <w:szCs w:val="20"/>
        </w:rPr>
        <w:t>constitución</w:t>
      </w:r>
      <w:proofErr w:type="spellEnd"/>
      <w:r w:rsidRPr="000E1761">
        <w:rPr>
          <w:rFonts w:ascii="Garamond" w:hAnsi="Garamond"/>
          <w:sz w:val="20"/>
          <w:szCs w:val="20"/>
        </w:rPr>
        <w:t xml:space="preserve"> económica: desde la </w:t>
      </w:r>
      <w:proofErr w:type="spellStart"/>
      <w:r w:rsidRPr="000E1761">
        <w:rPr>
          <w:rFonts w:ascii="Garamond" w:hAnsi="Garamond"/>
          <w:sz w:val="20"/>
          <w:szCs w:val="20"/>
        </w:rPr>
        <w:t>ambigüedad</w:t>
      </w:r>
      <w:proofErr w:type="spellEnd"/>
      <w:r w:rsidRPr="000E1761">
        <w:rPr>
          <w:rFonts w:ascii="Garamond" w:hAnsi="Garamond"/>
          <w:sz w:val="20"/>
          <w:szCs w:val="20"/>
        </w:rPr>
        <w:t xml:space="preserve"> a la </w:t>
      </w:r>
      <w:proofErr w:type="spellStart"/>
      <w:r w:rsidRPr="000E1761">
        <w:rPr>
          <w:rFonts w:ascii="Garamond" w:hAnsi="Garamond"/>
          <w:sz w:val="20"/>
          <w:szCs w:val="20"/>
        </w:rPr>
        <w:t>integración</w:t>
      </w:r>
      <w:proofErr w:type="spellEnd"/>
      <w:r w:rsidRPr="000E1761">
        <w:rPr>
          <w:rFonts w:ascii="Garamond" w:hAnsi="Garamond"/>
          <w:sz w:val="20"/>
          <w:szCs w:val="20"/>
        </w:rPr>
        <w:t>”, ob. cit., p. 23.</w:t>
      </w:r>
    </w:p>
    <w:p w14:paraId="3B4D27F5" w14:textId="77777777" w:rsidR="00A269E9" w:rsidRPr="000E1761" w:rsidRDefault="00A269E9" w:rsidP="000E1761">
      <w:pPr>
        <w:pStyle w:val="Textodenotaderodap"/>
        <w:ind w:firstLine="0"/>
        <w:rPr>
          <w:rFonts w:ascii="Garamond" w:hAnsi="Garamond"/>
          <w:lang w:val="pt-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10309"/>
    <w:multiLevelType w:val="multilevel"/>
    <w:tmpl w:val="444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6A64"/>
    <w:multiLevelType w:val="multilevel"/>
    <w:tmpl w:val="7F5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B7FAF"/>
    <w:multiLevelType w:val="hybridMultilevel"/>
    <w:tmpl w:val="DE2489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BC58A5"/>
    <w:multiLevelType w:val="multilevel"/>
    <w:tmpl w:val="ABDA6BD2"/>
    <w:lvl w:ilvl="0">
      <w:start w:val="1"/>
      <w:numFmt w:val="decimal"/>
      <w:lvlText w:val="%1."/>
      <w:lvlJc w:val="left"/>
      <w:pPr>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5A"/>
    <w:rsid w:val="00016B88"/>
    <w:rsid w:val="00040BD6"/>
    <w:rsid w:val="00050EEE"/>
    <w:rsid w:val="00060055"/>
    <w:rsid w:val="00072C3F"/>
    <w:rsid w:val="000857A6"/>
    <w:rsid w:val="000B5500"/>
    <w:rsid w:val="000C7B2A"/>
    <w:rsid w:val="000E1761"/>
    <w:rsid w:val="000E3EED"/>
    <w:rsid w:val="000E56A6"/>
    <w:rsid w:val="000F3FFA"/>
    <w:rsid w:val="00102B70"/>
    <w:rsid w:val="00103C5A"/>
    <w:rsid w:val="001173F8"/>
    <w:rsid w:val="00143F19"/>
    <w:rsid w:val="00175756"/>
    <w:rsid w:val="0019576A"/>
    <w:rsid w:val="001B7751"/>
    <w:rsid w:val="001E2D78"/>
    <w:rsid w:val="001E4B53"/>
    <w:rsid w:val="002134FD"/>
    <w:rsid w:val="00231760"/>
    <w:rsid w:val="002412B1"/>
    <w:rsid w:val="00276828"/>
    <w:rsid w:val="002B3924"/>
    <w:rsid w:val="002C784B"/>
    <w:rsid w:val="002D67C7"/>
    <w:rsid w:val="002D749A"/>
    <w:rsid w:val="002E77D5"/>
    <w:rsid w:val="00300ADA"/>
    <w:rsid w:val="00313EC5"/>
    <w:rsid w:val="00317183"/>
    <w:rsid w:val="00333415"/>
    <w:rsid w:val="0034465D"/>
    <w:rsid w:val="003A72DA"/>
    <w:rsid w:val="003B1FC2"/>
    <w:rsid w:val="003B741B"/>
    <w:rsid w:val="003E76F3"/>
    <w:rsid w:val="003F489E"/>
    <w:rsid w:val="00412CC5"/>
    <w:rsid w:val="00420BAC"/>
    <w:rsid w:val="00421509"/>
    <w:rsid w:val="004425DA"/>
    <w:rsid w:val="00473418"/>
    <w:rsid w:val="00474D0F"/>
    <w:rsid w:val="00482E12"/>
    <w:rsid w:val="00491440"/>
    <w:rsid w:val="004A130F"/>
    <w:rsid w:val="004B178D"/>
    <w:rsid w:val="004D4CB5"/>
    <w:rsid w:val="00577908"/>
    <w:rsid w:val="005B17FD"/>
    <w:rsid w:val="005E3932"/>
    <w:rsid w:val="00600A66"/>
    <w:rsid w:val="00601E7F"/>
    <w:rsid w:val="006441E9"/>
    <w:rsid w:val="006612EE"/>
    <w:rsid w:val="006774AF"/>
    <w:rsid w:val="00684382"/>
    <w:rsid w:val="006A05B6"/>
    <w:rsid w:val="006A223D"/>
    <w:rsid w:val="006A3DDE"/>
    <w:rsid w:val="006A3E5C"/>
    <w:rsid w:val="006C2EF5"/>
    <w:rsid w:val="006D6FC3"/>
    <w:rsid w:val="006F08AA"/>
    <w:rsid w:val="00720482"/>
    <w:rsid w:val="00732A5D"/>
    <w:rsid w:val="0073439F"/>
    <w:rsid w:val="00734B53"/>
    <w:rsid w:val="00744661"/>
    <w:rsid w:val="00745B5D"/>
    <w:rsid w:val="007A2C25"/>
    <w:rsid w:val="007A678C"/>
    <w:rsid w:val="00807202"/>
    <w:rsid w:val="00857C04"/>
    <w:rsid w:val="00861A7D"/>
    <w:rsid w:val="00871882"/>
    <w:rsid w:val="008947A1"/>
    <w:rsid w:val="008979E3"/>
    <w:rsid w:val="008E3962"/>
    <w:rsid w:val="008F2E0A"/>
    <w:rsid w:val="009056E6"/>
    <w:rsid w:val="0094310E"/>
    <w:rsid w:val="00953E24"/>
    <w:rsid w:val="009544B0"/>
    <w:rsid w:val="00972E43"/>
    <w:rsid w:val="00981449"/>
    <w:rsid w:val="009A50D9"/>
    <w:rsid w:val="009A573E"/>
    <w:rsid w:val="009D57F9"/>
    <w:rsid w:val="00A269E9"/>
    <w:rsid w:val="00A32D93"/>
    <w:rsid w:val="00A40147"/>
    <w:rsid w:val="00A5098C"/>
    <w:rsid w:val="00A561A8"/>
    <w:rsid w:val="00A84B03"/>
    <w:rsid w:val="00AC4CF7"/>
    <w:rsid w:val="00AD46AC"/>
    <w:rsid w:val="00AF2425"/>
    <w:rsid w:val="00AF5794"/>
    <w:rsid w:val="00B2185C"/>
    <w:rsid w:val="00B31F47"/>
    <w:rsid w:val="00B44DE3"/>
    <w:rsid w:val="00B541CA"/>
    <w:rsid w:val="00B71B46"/>
    <w:rsid w:val="00BA06EE"/>
    <w:rsid w:val="00BC2F1A"/>
    <w:rsid w:val="00BE0AE8"/>
    <w:rsid w:val="00BF178C"/>
    <w:rsid w:val="00C267C0"/>
    <w:rsid w:val="00C41593"/>
    <w:rsid w:val="00C47CEC"/>
    <w:rsid w:val="00CA0BCC"/>
    <w:rsid w:val="00CE5E1F"/>
    <w:rsid w:val="00D27F4B"/>
    <w:rsid w:val="00D46482"/>
    <w:rsid w:val="00D47A76"/>
    <w:rsid w:val="00D5209B"/>
    <w:rsid w:val="00E074C4"/>
    <w:rsid w:val="00E36936"/>
    <w:rsid w:val="00E709B8"/>
    <w:rsid w:val="00E75AE4"/>
    <w:rsid w:val="00E82347"/>
    <w:rsid w:val="00E97828"/>
    <w:rsid w:val="00EA10B5"/>
    <w:rsid w:val="00EE473C"/>
    <w:rsid w:val="00EF5716"/>
    <w:rsid w:val="00F42363"/>
    <w:rsid w:val="00F5360D"/>
    <w:rsid w:val="00F65832"/>
    <w:rsid w:val="00F72E11"/>
    <w:rsid w:val="00F83404"/>
    <w:rsid w:val="00FA10AE"/>
    <w:rsid w:val="00FB36DD"/>
    <w:rsid w:val="00FC2EDD"/>
    <w:rsid w:val="00FE4AB7"/>
    <w:rsid w:val="00FF39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5E23"/>
  <w15:docId w15:val="{230CA90C-DBDC-4EA4-A7E3-3C03AE0B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spacing w:line="360" w:lineRule="auto"/>
        <w:ind w:firstLine="65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arter"/>
    <w:uiPriority w:val="99"/>
    <w:unhideWhenUsed/>
    <w:rsid w:val="000E3EED"/>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0E3EED"/>
    <w:rPr>
      <w:sz w:val="20"/>
      <w:szCs w:val="20"/>
    </w:rPr>
  </w:style>
  <w:style w:type="character" w:styleId="Refdenotaderodap">
    <w:name w:val="footnote reference"/>
    <w:basedOn w:val="Tipodeletrapredefinidodopargrafo"/>
    <w:uiPriority w:val="99"/>
    <w:semiHidden/>
    <w:unhideWhenUsed/>
    <w:rsid w:val="000E3EED"/>
    <w:rPr>
      <w:vertAlign w:val="superscript"/>
    </w:rPr>
  </w:style>
  <w:style w:type="paragraph" w:styleId="Cabealho">
    <w:name w:val="header"/>
    <w:basedOn w:val="Normal"/>
    <w:link w:val="CabealhoCarter"/>
    <w:uiPriority w:val="99"/>
    <w:unhideWhenUsed/>
    <w:rsid w:val="002D67C7"/>
    <w:pPr>
      <w:tabs>
        <w:tab w:val="center" w:pos="4680"/>
        <w:tab w:val="right" w:pos="9360"/>
      </w:tabs>
      <w:spacing w:line="240" w:lineRule="auto"/>
    </w:pPr>
  </w:style>
  <w:style w:type="character" w:customStyle="1" w:styleId="CabealhoCarter">
    <w:name w:val="Cabeçalho Caráter"/>
    <w:basedOn w:val="Tipodeletrapredefinidodopargrafo"/>
    <w:link w:val="Cabealho"/>
    <w:uiPriority w:val="99"/>
    <w:rsid w:val="002D67C7"/>
  </w:style>
  <w:style w:type="paragraph" w:styleId="Rodap">
    <w:name w:val="footer"/>
    <w:basedOn w:val="Normal"/>
    <w:link w:val="RodapCarter"/>
    <w:uiPriority w:val="99"/>
    <w:unhideWhenUsed/>
    <w:rsid w:val="002D67C7"/>
    <w:pPr>
      <w:tabs>
        <w:tab w:val="center" w:pos="4680"/>
        <w:tab w:val="right" w:pos="9360"/>
      </w:tabs>
      <w:spacing w:line="240" w:lineRule="auto"/>
    </w:pPr>
  </w:style>
  <w:style w:type="character" w:customStyle="1" w:styleId="RodapCarter">
    <w:name w:val="Rodapé Caráter"/>
    <w:basedOn w:val="Tipodeletrapredefinidodopargrafo"/>
    <w:link w:val="Rodap"/>
    <w:uiPriority w:val="99"/>
    <w:rsid w:val="002D67C7"/>
  </w:style>
  <w:style w:type="paragraph" w:styleId="NormalWeb">
    <w:name w:val="Normal (Web)"/>
    <w:basedOn w:val="Normal"/>
    <w:uiPriority w:val="99"/>
    <w:unhideWhenUsed/>
    <w:rsid w:val="00F65832"/>
    <w:pPr>
      <w:spacing w:before="100" w:beforeAutospacing="1" w:after="100" w:afterAutospacing="1" w:line="240" w:lineRule="auto"/>
      <w:ind w:firstLine="0"/>
      <w:jc w:val="left"/>
    </w:pPr>
    <w:rPr>
      <w:lang w:val="pt-PT" w:eastAsia="pt-PT"/>
    </w:rPr>
  </w:style>
  <w:style w:type="paragraph" w:styleId="PargrafodaLista">
    <w:name w:val="List Paragraph"/>
    <w:basedOn w:val="Normal"/>
    <w:uiPriority w:val="34"/>
    <w:qFormat/>
    <w:rsid w:val="00420BAC"/>
    <w:pPr>
      <w:ind w:left="720"/>
      <w:contextualSpacing/>
    </w:pPr>
  </w:style>
  <w:style w:type="character" w:styleId="Hiperligao">
    <w:name w:val="Hyperlink"/>
    <w:basedOn w:val="Tipodeletrapredefinidodopargrafo"/>
    <w:uiPriority w:val="99"/>
    <w:unhideWhenUsed/>
    <w:rsid w:val="00B2185C"/>
    <w:rPr>
      <w:color w:val="0000FF" w:themeColor="hyperlink"/>
      <w:u w:val="single"/>
    </w:rPr>
  </w:style>
  <w:style w:type="character" w:styleId="MenoNoResolvida">
    <w:name w:val="Unresolved Mention"/>
    <w:basedOn w:val="Tipodeletrapredefinidodopargrafo"/>
    <w:uiPriority w:val="99"/>
    <w:semiHidden/>
    <w:unhideWhenUsed/>
    <w:rsid w:val="00B2185C"/>
    <w:rPr>
      <w:color w:val="605E5C"/>
      <w:shd w:val="clear" w:color="auto" w:fill="E1DFDD"/>
    </w:rPr>
  </w:style>
  <w:style w:type="character" w:styleId="Forte">
    <w:name w:val="Strong"/>
    <w:basedOn w:val="Tipodeletrapredefinidodopargrafo"/>
    <w:uiPriority w:val="22"/>
    <w:qFormat/>
    <w:rsid w:val="005E3932"/>
    <w:rPr>
      <w:b/>
      <w:bCs/>
    </w:rPr>
  </w:style>
  <w:style w:type="character" w:customStyle="1" w:styleId="apple-converted-space">
    <w:name w:val="apple-converted-space"/>
    <w:basedOn w:val="Tipodeletrapredefinidodopargrafo"/>
    <w:rsid w:val="005E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39043">
      <w:bodyDiv w:val="1"/>
      <w:marLeft w:val="0"/>
      <w:marRight w:val="0"/>
      <w:marTop w:val="0"/>
      <w:marBottom w:val="0"/>
      <w:divBdr>
        <w:top w:val="none" w:sz="0" w:space="0" w:color="auto"/>
        <w:left w:val="none" w:sz="0" w:space="0" w:color="auto"/>
        <w:bottom w:val="none" w:sz="0" w:space="0" w:color="auto"/>
        <w:right w:val="none" w:sz="0" w:space="0" w:color="auto"/>
      </w:divBdr>
    </w:div>
    <w:div w:id="319892036">
      <w:bodyDiv w:val="1"/>
      <w:marLeft w:val="0"/>
      <w:marRight w:val="0"/>
      <w:marTop w:val="0"/>
      <w:marBottom w:val="0"/>
      <w:divBdr>
        <w:top w:val="none" w:sz="0" w:space="0" w:color="auto"/>
        <w:left w:val="none" w:sz="0" w:space="0" w:color="auto"/>
        <w:bottom w:val="none" w:sz="0" w:space="0" w:color="auto"/>
        <w:right w:val="none" w:sz="0" w:space="0" w:color="auto"/>
      </w:divBdr>
      <w:divsChild>
        <w:div w:id="493685391">
          <w:marLeft w:val="0"/>
          <w:marRight w:val="0"/>
          <w:marTop w:val="0"/>
          <w:marBottom w:val="0"/>
          <w:divBdr>
            <w:top w:val="none" w:sz="0" w:space="0" w:color="auto"/>
            <w:left w:val="none" w:sz="0" w:space="0" w:color="auto"/>
            <w:bottom w:val="none" w:sz="0" w:space="0" w:color="auto"/>
            <w:right w:val="none" w:sz="0" w:space="0" w:color="auto"/>
          </w:divBdr>
          <w:divsChild>
            <w:div w:id="319970862">
              <w:marLeft w:val="0"/>
              <w:marRight w:val="0"/>
              <w:marTop w:val="0"/>
              <w:marBottom w:val="0"/>
              <w:divBdr>
                <w:top w:val="none" w:sz="0" w:space="0" w:color="auto"/>
                <w:left w:val="none" w:sz="0" w:space="0" w:color="auto"/>
                <w:bottom w:val="none" w:sz="0" w:space="0" w:color="auto"/>
                <w:right w:val="none" w:sz="0" w:space="0" w:color="auto"/>
              </w:divBdr>
              <w:divsChild>
                <w:div w:id="19403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11905">
      <w:bodyDiv w:val="1"/>
      <w:marLeft w:val="0"/>
      <w:marRight w:val="0"/>
      <w:marTop w:val="0"/>
      <w:marBottom w:val="0"/>
      <w:divBdr>
        <w:top w:val="none" w:sz="0" w:space="0" w:color="auto"/>
        <w:left w:val="none" w:sz="0" w:space="0" w:color="auto"/>
        <w:bottom w:val="none" w:sz="0" w:space="0" w:color="auto"/>
        <w:right w:val="none" w:sz="0" w:space="0" w:color="auto"/>
      </w:divBdr>
      <w:divsChild>
        <w:div w:id="932862819">
          <w:marLeft w:val="0"/>
          <w:marRight w:val="0"/>
          <w:marTop w:val="0"/>
          <w:marBottom w:val="0"/>
          <w:divBdr>
            <w:top w:val="none" w:sz="0" w:space="0" w:color="auto"/>
            <w:left w:val="none" w:sz="0" w:space="0" w:color="auto"/>
            <w:bottom w:val="none" w:sz="0" w:space="0" w:color="auto"/>
            <w:right w:val="none" w:sz="0" w:space="0" w:color="auto"/>
          </w:divBdr>
          <w:divsChild>
            <w:div w:id="2063089847">
              <w:marLeft w:val="0"/>
              <w:marRight w:val="0"/>
              <w:marTop w:val="0"/>
              <w:marBottom w:val="0"/>
              <w:divBdr>
                <w:top w:val="none" w:sz="0" w:space="0" w:color="auto"/>
                <w:left w:val="none" w:sz="0" w:space="0" w:color="auto"/>
                <w:bottom w:val="none" w:sz="0" w:space="0" w:color="auto"/>
                <w:right w:val="none" w:sz="0" w:space="0" w:color="auto"/>
              </w:divBdr>
              <w:divsChild>
                <w:div w:id="14840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7195">
      <w:bodyDiv w:val="1"/>
      <w:marLeft w:val="0"/>
      <w:marRight w:val="0"/>
      <w:marTop w:val="0"/>
      <w:marBottom w:val="0"/>
      <w:divBdr>
        <w:top w:val="none" w:sz="0" w:space="0" w:color="auto"/>
        <w:left w:val="none" w:sz="0" w:space="0" w:color="auto"/>
        <w:bottom w:val="none" w:sz="0" w:space="0" w:color="auto"/>
        <w:right w:val="none" w:sz="0" w:space="0" w:color="auto"/>
      </w:divBdr>
      <w:divsChild>
        <w:div w:id="570654243">
          <w:marLeft w:val="0"/>
          <w:marRight w:val="0"/>
          <w:marTop w:val="0"/>
          <w:marBottom w:val="0"/>
          <w:divBdr>
            <w:top w:val="none" w:sz="0" w:space="0" w:color="auto"/>
            <w:left w:val="none" w:sz="0" w:space="0" w:color="auto"/>
            <w:bottom w:val="none" w:sz="0" w:space="0" w:color="auto"/>
            <w:right w:val="none" w:sz="0" w:space="0" w:color="auto"/>
          </w:divBdr>
          <w:divsChild>
            <w:div w:id="352346803">
              <w:marLeft w:val="0"/>
              <w:marRight w:val="0"/>
              <w:marTop w:val="0"/>
              <w:marBottom w:val="0"/>
              <w:divBdr>
                <w:top w:val="none" w:sz="0" w:space="0" w:color="auto"/>
                <w:left w:val="none" w:sz="0" w:space="0" w:color="auto"/>
                <w:bottom w:val="none" w:sz="0" w:space="0" w:color="auto"/>
                <w:right w:val="none" w:sz="0" w:space="0" w:color="auto"/>
              </w:divBdr>
              <w:divsChild>
                <w:div w:id="20563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10546">
      <w:bodyDiv w:val="1"/>
      <w:marLeft w:val="0"/>
      <w:marRight w:val="0"/>
      <w:marTop w:val="0"/>
      <w:marBottom w:val="0"/>
      <w:divBdr>
        <w:top w:val="none" w:sz="0" w:space="0" w:color="auto"/>
        <w:left w:val="none" w:sz="0" w:space="0" w:color="auto"/>
        <w:bottom w:val="none" w:sz="0" w:space="0" w:color="auto"/>
        <w:right w:val="none" w:sz="0" w:space="0" w:color="auto"/>
      </w:divBdr>
      <w:divsChild>
        <w:div w:id="1829589709">
          <w:marLeft w:val="0"/>
          <w:marRight w:val="0"/>
          <w:marTop w:val="0"/>
          <w:marBottom w:val="0"/>
          <w:divBdr>
            <w:top w:val="none" w:sz="0" w:space="0" w:color="auto"/>
            <w:left w:val="none" w:sz="0" w:space="0" w:color="auto"/>
            <w:bottom w:val="none" w:sz="0" w:space="0" w:color="auto"/>
            <w:right w:val="none" w:sz="0" w:space="0" w:color="auto"/>
          </w:divBdr>
          <w:divsChild>
            <w:div w:id="51858186">
              <w:marLeft w:val="0"/>
              <w:marRight w:val="0"/>
              <w:marTop w:val="0"/>
              <w:marBottom w:val="0"/>
              <w:divBdr>
                <w:top w:val="none" w:sz="0" w:space="0" w:color="auto"/>
                <w:left w:val="none" w:sz="0" w:space="0" w:color="auto"/>
                <w:bottom w:val="none" w:sz="0" w:space="0" w:color="auto"/>
                <w:right w:val="none" w:sz="0" w:space="0" w:color="auto"/>
              </w:divBdr>
              <w:divsChild>
                <w:div w:id="189854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2347">
      <w:bodyDiv w:val="1"/>
      <w:marLeft w:val="0"/>
      <w:marRight w:val="0"/>
      <w:marTop w:val="0"/>
      <w:marBottom w:val="0"/>
      <w:divBdr>
        <w:top w:val="none" w:sz="0" w:space="0" w:color="auto"/>
        <w:left w:val="none" w:sz="0" w:space="0" w:color="auto"/>
        <w:bottom w:val="none" w:sz="0" w:space="0" w:color="auto"/>
        <w:right w:val="none" w:sz="0" w:space="0" w:color="auto"/>
      </w:divBdr>
    </w:div>
    <w:div w:id="1465656143">
      <w:bodyDiv w:val="1"/>
      <w:marLeft w:val="0"/>
      <w:marRight w:val="0"/>
      <w:marTop w:val="0"/>
      <w:marBottom w:val="0"/>
      <w:divBdr>
        <w:top w:val="none" w:sz="0" w:space="0" w:color="auto"/>
        <w:left w:val="none" w:sz="0" w:space="0" w:color="auto"/>
        <w:bottom w:val="none" w:sz="0" w:space="0" w:color="auto"/>
        <w:right w:val="none" w:sz="0" w:space="0" w:color="auto"/>
      </w:divBdr>
    </w:div>
    <w:div w:id="1811629877">
      <w:bodyDiv w:val="1"/>
      <w:marLeft w:val="0"/>
      <w:marRight w:val="0"/>
      <w:marTop w:val="0"/>
      <w:marBottom w:val="0"/>
      <w:divBdr>
        <w:top w:val="none" w:sz="0" w:space="0" w:color="auto"/>
        <w:left w:val="none" w:sz="0" w:space="0" w:color="auto"/>
        <w:bottom w:val="none" w:sz="0" w:space="0" w:color="auto"/>
        <w:right w:val="none" w:sz="0" w:space="0" w:color="auto"/>
      </w:divBdr>
      <w:divsChild>
        <w:div w:id="627930156">
          <w:marLeft w:val="0"/>
          <w:marRight w:val="0"/>
          <w:marTop w:val="0"/>
          <w:marBottom w:val="0"/>
          <w:divBdr>
            <w:top w:val="none" w:sz="0" w:space="0" w:color="auto"/>
            <w:left w:val="none" w:sz="0" w:space="0" w:color="auto"/>
            <w:bottom w:val="none" w:sz="0" w:space="0" w:color="auto"/>
            <w:right w:val="none" w:sz="0" w:space="0" w:color="auto"/>
          </w:divBdr>
          <w:divsChild>
            <w:div w:id="487286015">
              <w:marLeft w:val="0"/>
              <w:marRight w:val="0"/>
              <w:marTop w:val="0"/>
              <w:marBottom w:val="0"/>
              <w:divBdr>
                <w:top w:val="none" w:sz="0" w:space="0" w:color="auto"/>
                <w:left w:val="none" w:sz="0" w:space="0" w:color="auto"/>
                <w:bottom w:val="none" w:sz="0" w:space="0" w:color="auto"/>
                <w:right w:val="none" w:sz="0" w:space="0" w:color="auto"/>
              </w:divBdr>
              <w:divsChild>
                <w:div w:id="13573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7D15-13C3-9C4C-8230-2D2482E9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1419</Words>
  <Characters>7664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Silva Veiga Fabio da</cp:lastModifiedBy>
  <cp:revision>6</cp:revision>
  <dcterms:created xsi:type="dcterms:W3CDTF">2020-05-12T08:49:00Z</dcterms:created>
  <dcterms:modified xsi:type="dcterms:W3CDTF">2020-10-09T09:35:00Z</dcterms:modified>
</cp:coreProperties>
</file>