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REENVIO COMO INSTRUMENTO ÚTIL CONTRA PROBLEMAS DE JURISDIÇÃO: UM ESTUDO COMPARADO ENTRE AS LEGISLAÇÕES PORTUGUESA E BRASILEIRA</w:t>
      </w:r>
    </w:p>
    <w:p w:rsidR="00000000" w:rsidDel="00000000" w:rsidP="00000000" w:rsidRDefault="00000000" w:rsidRPr="00000000" w14:paraId="00000002">
      <w:pPr>
        <w:spacing w:after="240" w:before="240" w:lineRule="auto"/>
        <w:jc w:val="cente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Renvoi as an useful tool against Jurisdiction issues: a comparative study between Portuguese and Brazilian legislations</w:t>
      </w:r>
    </w:p>
    <w:p w:rsidR="00000000" w:rsidDel="00000000" w:rsidP="00000000" w:rsidRDefault="00000000" w:rsidRPr="00000000" w14:paraId="00000003">
      <w:pPr>
        <w:spacing w:after="240" w:before="240" w:lineRule="auto"/>
        <w:jc w:val="righ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Mariana Silva</w:t>
      </w:r>
      <w:r w:rsidDel="00000000" w:rsidR="00000000" w:rsidRPr="00000000">
        <w:rPr>
          <w:rFonts w:ascii="Garamond" w:cs="Garamond" w:eastAsia="Garamond" w:hAnsi="Garamond"/>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240" w:before="240" w:lineRule="auto"/>
        <w:jc w:val="right"/>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Universidade XYZ</w:t>
      </w:r>
    </w:p>
    <w:p w:rsidR="00000000" w:rsidDel="00000000" w:rsidP="00000000" w:rsidRDefault="00000000" w:rsidRPr="00000000" w14:paraId="00000005">
      <w:pPr>
        <w:spacing w:line="360" w:lineRule="auto"/>
        <w:ind w:firstLine="708.6614173228347"/>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Sumário</w:t>
      </w:r>
      <w:r w:rsidDel="00000000" w:rsidR="00000000" w:rsidRPr="00000000">
        <w:rPr>
          <w:rFonts w:ascii="Garamond" w:cs="Garamond" w:eastAsia="Garamond" w:hAnsi="Garamond"/>
          <w:sz w:val="24"/>
          <w:szCs w:val="24"/>
          <w:rtl w:val="0"/>
        </w:rPr>
        <w:t xml:space="preserve">: 1. Introdução: O conflito de leis </w:t>
      </w:r>
      <w:r w:rsidDel="00000000" w:rsidR="00000000" w:rsidRPr="00000000">
        <w:rPr>
          <w:rFonts w:ascii="Garamond" w:cs="Garamond" w:eastAsia="Garamond" w:hAnsi="Garamond"/>
          <w:i w:val="1"/>
          <w:sz w:val="24"/>
          <w:szCs w:val="24"/>
          <w:rtl w:val="0"/>
        </w:rPr>
        <w:t xml:space="preserve">per si </w:t>
      </w:r>
      <w:r w:rsidDel="00000000" w:rsidR="00000000" w:rsidRPr="00000000">
        <w:rPr>
          <w:rFonts w:ascii="Garamond" w:cs="Garamond" w:eastAsia="Garamond" w:hAnsi="Garamond"/>
          <w:sz w:val="24"/>
          <w:szCs w:val="24"/>
          <w:rtl w:val="0"/>
        </w:rPr>
        <w:t xml:space="preserve">e problemas de jurisdição; 2. Renvoi; 3. Legislação portuguesa; 4. Legislação brasileira e seus desafios; 5. Conclusão.</w:t>
      </w:r>
    </w:p>
    <w:p w:rsidR="00000000" w:rsidDel="00000000" w:rsidP="00000000" w:rsidRDefault="00000000" w:rsidRPr="00000000" w14:paraId="00000006">
      <w:pPr>
        <w:spacing w:line="360" w:lineRule="auto"/>
        <w:ind w:firstLine="708.6614173228347"/>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7">
      <w:pPr>
        <w:spacing w:line="360" w:lineRule="auto"/>
        <w:ind w:firstLine="708.6614173228347"/>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Resumo</w:t>
      </w:r>
      <w:r w:rsidDel="00000000" w:rsidR="00000000" w:rsidRPr="00000000">
        <w:rPr>
          <w:rFonts w:ascii="Garamond" w:cs="Garamond" w:eastAsia="Garamond" w:hAnsi="Garamond"/>
          <w:sz w:val="24"/>
          <w:szCs w:val="24"/>
          <w:rtl w:val="0"/>
        </w:rPr>
        <w:t xml:space="preserve">: Este artigo explora a eficácia da técnica de renvoi no Direito Internacional Privado (DIP), enfatizando seu potencial para alcançar uniformidade e certeza jurídica entre jurisdições. Examina a pluralidade de técnicas de regulação conflitantes dentro do DIP, destacando a necessidade de uma integração coerente da escolha de lei, escolha de foro e reconhecimento de sentenças estrangeiras. Para isso, este artigo contrasta o sistema jurídico português, que emprega efetivamente o renvoi, com o brasileiro sob a LINDB (Lei de Introdução ao Direito Brasileiro), que resiste a esta técnica, resultando em resultados jurídicos inconsistentes. Também explorará questões de jurisdição, para ver como os sistemas jurídicos podem melhor abordar as complexidades dos casos transnacionais, garantindo justiça e previsibilidade nos procedimentos legais.</w:t>
      </w:r>
    </w:p>
    <w:p w:rsidR="00000000" w:rsidDel="00000000" w:rsidP="00000000" w:rsidRDefault="00000000" w:rsidRPr="00000000" w14:paraId="00000008">
      <w:pPr>
        <w:spacing w:line="360" w:lineRule="auto"/>
        <w:ind w:firstLine="708.6614173228347"/>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9">
      <w:pPr>
        <w:spacing w:line="360" w:lineRule="auto"/>
        <w:ind w:firstLine="708.6614173228347"/>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Palavras-chave</w:t>
      </w:r>
      <w:r w:rsidDel="00000000" w:rsidR="00000000" w:rsidRPr="00000000">
        <w:rPr>
          <w:rFonts w:ascii="Garamond" w:cs="Garamond" w:eastAsia="Garamond" w:hAnsi="Garamond"/>
          <w:sz w:val="24"/>
          <w:szCs w:val="24"/>
          <w:rtl w:val="0"/>
        </w:rPr>
        <w:t xml:space="preserve">: renvoi; jurisdição; Portugal; Brasil.</w:t>
      </w:r>
    </w:p>
    <w:p w:rsidR="00000000" w:rsidDel="00000000" w:rsidP="00000000" w:rsidRDefault="00000000" w:rsidRPr="00000000" w14:paraId="0000000A">
      <w:pPr>
        <w:spacing w:line="360" w:lineRule="auto"/>
        <w:ind w:firstLine="708.6614173228347"/>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B">
      <w:pPr>
        <w:spacing w:line="360" w:lineRule="auto"/>
        <w:ind w:firstLine="708.6614173228347"/>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Abstract: </w:t>
      </w:r>
      <w:r w:rsidDel="00000000" w:rsidR="00000000" w:rsidRPr="00000000">
        <w:rPr>
          <w:rFonts w:ascii="Garamond" w:cs="Garamond" w:eastAsia="Garamond" w:hAnsi="Garamond"/>
          <w:sz w:val="24"/>
          <w:szCs w:val="24"/>
          <w:rtl w:val="0"/>
        </w:rPr>
        <w:t xml:space="preserve">This paper explores the efficacy of the </w:t>
      </w:r>
      <w:r w:rsidDel="00000000" w:rsidR="00000000" w:rsidRPr="00000000">
        <w:rPr>
          <w:rFonts w:ascii="Garamond" w:cs="Garamond" w:eastAsia="Garamond" w:hAnsi="Garamond"/>
          <w:i w:val="1"/>
          <w:sz w:val="24"/>
          <w:szCs w:val="24"/>
          <w:rtl w:val="0"/>
        </w:rPr>
        <w:t xml:space="preserve">renvoi </w:t>
      </w:r>
      <w:r w:rsidDel="00000000" w:rsidR="00000000" w:rsidRPr="00000000">
        <w:rPr>
          <w:rFonts w:ascii="Garamond" w:cs="Garamond" w:eastAsia="Garamond" w:hAnsi="Garamond"/>
          <w:sz w:val="24"/>
          <w:szCs w:val="24"/>
          <w:rtl w:val="0"/>
        </w:rPr>
        <w:t xml:space="preserve">technique in Private International Law (PIL), emphasizing its potential to achieve legal uniformity and certainty across jurisdictions. It examines the plurality of conflictual regulation techniques within PIL, highlighting the need for coherent integration of choice-of-law, choice-of-court, and recognition of foreign judgments. To do so, this paper contrasts the Portuguese legal system, which effectively employs </w:t>
      </w:r>
      <w:r w:rsidDel="00000000" w:rsidR="00000000" w:rsidRPr="00000000">
        <w:rPr>
          <w:rFonts w:ascii="Garamond" w:cs="Garamond" w:eastAsia="Garamond" w:hAnsi="Garamond"/>
          <w:i w:val="1"/>
          <w:sz w:val="24"/>
          <w:szCs w:val="24"/>
          <w:rtl w:val="0"/>
        </w:rPr>
        <w:t xml:space="preserve">renvoi</w:t>
      </w:r>
      <w:r w:rsidDel="00000000" w:rsidR="00000000" w:rsidRPr="00000000">
        <w:rPr>
          <w:rFonts w:ascii="Garamond" w:cs="Garamond" w:eastAsia="Garamond" w:hAnsi="Garamond"/>
          <w:sz w:val="24"/>
          <w:szCs w:val="24"/>
          <w:rtl w:val="0"/>
        </w:rPr>
        <w:t xml:space="preserve">, with the Brazilian one under the LINDB (Lei de Introdução do Direito Brasileiro, freely translated to “Introduction to Brazilian Law Act”), which resists this technique, resulting in inconsistent legal outcomes. It will explore jurisdiction issues as well, to see how legal systems can better address the complexities of transnational cases, ensuring justice and predictability in legal proceedings.</w:t>
      </w:r>
    </w:p>
    <w:p w:rsidR="00000000" w:rsidDel="00000000" w:rsidP="00000000" w:rsidRDefault="00000000" w:rsidRPr="00000000" w14:paraId="0000000C">
      <w:pPr>
        <w:spacing w:line="360" w:lineRule="auto"/>
        <w:ind w:firstLine="708.6614173228347"/>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D">
      <w:pPr>
        <w:spacing w:line="360" w:lineRule="auto"/>
        <w:ind w:firstLine="708.6614173228347"/>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Keywords: </w:t>
      </w:r>
      <w:r w:rsidDel="00000000" w:rsidR="00000000" w:rsidRPr="00000000">
        <w:rPr>
          <w:rFonts w:ascii="Garamond" w:cs="Garamond" w:eastAsia="Garamond" w:hAnsi="Garamond"/>
          <w:i w:val="1"/>
          <w:sz w:val="24"/>
          <w:szCs w:val="24"/>
          <w:rtl w:val="0"/>
        </w:rPr>
        <w:t xml:space="preserve">Renvoi</w:t>
      </w:r>
      <w:r w:rsidDel="00000000" w:rsidR="00000000" w:rsidRPr="00000000">
        <w:rPr>
          <w:rFonts w:ascii="Garamond" w:cs="Garamond" w:eastAsia="Garamond" w:hAnsi="Garamond"/>
          <w:sz w:val="24"/>
          <w:szCs w:val="24"/>
          <w:rtl w:val="0"/>
        </w:rPr>
        <w:t xml:space="preserve">; jurisdiction; Portugal; Brazil.</w:t>
      </w:r>
    </w:p>
    <w:p w:rsidR="00000000" w:rsidDel="00000000" w:rsidP="00000000" w:rsidRDefault="00000000" w:rsidRPr="00000000" w14:paraId="0000000E">
      <w:pPr>
        <w:spacing w:line="360" w:lineRule="auto"/>
        <w:ind w:firstLine="708.6614173228347"/>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F">
      <w:pPr>
        <w:numPr>
          <w:ilvl w:val="0"/>
          <w:numId w:val="1"/>
        </w:numPr>
        <w:spacing w:line="360" w:lineRule="auto"/>
        <w:ind w:left="708.6614173228347" w:hanging="15"/>
        <w:jc w:val="both"/>
        <w:rPr>
          <w:rFonts w:ascii="Garamond" w:cs="Garamond" w:eastAsia="Garamond" w:hAnsi="Garamond"/>
          <w:b w:val="1"/>
          <w:sz w:val="24"/>
          <w:szCs w:val="24"/>
          <w:u w:val="none"/>
        </w:rPr>
      </w:pPr>
      <w:r w:rsidDel="00000000" w:rsidR="00000000" w:rsidRPr="00000000">
        <w:rPr>
          <w:rFonts w:ascii="Garamond" w:cs="Garamond" w:eastAsia="Garamond" w:hAnsi="Garamond"/>
          <w:b w:val="1"/>
          <w:sz w:val="24"/>
          <w:szCs w:val="24"/>
          <w:rtl w:val="0"/>
        </w:rPr>
        <w:t xml:space="preserve">INTRODUÇÃO: O CONFLITO DE LEIS PER SI E PROBLEMAS DE JURISDIÇÃO</w:t>
      </w:r>
    </w:p>
    <w:p w:rsidR="00000000" w:rsidDel="00000000" w:rsidP="00000000" w:rsidRDefault="00000000" w:rsidRPr="00000000" w14:paraId="00000010">
      <w:pPr>
        <w:spacing w:line="360" w:lineRule="auto"/>
        <w:ind w:firstLine="708.6614173228347"/>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Ao determinar a lei aplicável em litígios que envolvem questões transnacionais, a doutrina jurídica oferece várias técnicas. Entre estas, as regras de escolha da lei surgiram como o método mais proeminente nos países de direito civil, dando origem a significativos conflitos de lei</w:t>
      </w:r>
      <w:r w:rsidDel="00000000" w:rsidR="00000000" w:rsidRPr="00000000">
        <w:rPr>
          <w:rFonts w:ascii="Garamond" w:cs="Garamond" w:eastAsia="Garamond" w:hAnsi="Garamond"/>
          <w:sz w:val="24"/>
          <w:szCs w:val="24"/>
          <w:vertAlign w:val="superscript"/>
        </w:rPr>
        <w:footnoteReference w:customMarkFollows="0" w:id="1"/>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11">
      <w:pPr>
        <w:spacing w:line="360" w:lineRule="auto"/>
        <w:ind w:firstLine="708.6614173228347"/>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Em contraste, os países de common law frequentemente resistem a esta abordagem, como exemplificado pelos Restatements Americanos e por juristas influentes como Joseph Story, David Cavers e Brainerd Currie, cada um possuindo teorias relevantes sobre o fator de conexão relevante do direito de conflito.</w:t>
      </w:r>
    </w:p>
    <w:p w:rsidR="00000000" w:rsidDel="00000000" w:rsidP="00000000" w:rsidRDefault="00000000" w:rsidRPr="00000000" w14:paraId="00000012">
      <w:pPr>
        <w:spacing w:line="360" w:lineRule="auto"/>
        <w:ind w:firstLine="708.6614173228347"/>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13">
      <w:pPr>
        <w:spacing w:line="360" w:lineRule="auto"/>
        <w:ind w:left="0" w:firstLine="0"/>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4">
      <w:pPr>
        <w:spacing w:line="360" w:lineRule="auto"/>
        <w:ind w:left="0" w:firstLine="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REFERÊNCIAS BIBLIOGRÁFICAS:</w:t>
      </w:r>
    </w:p>
    <w:p w:rsidR="00000000" w:rsidDel="00000000" w:rsidP="00000000" w:rsidRDefault="00000000" w:rsidRPr="00000000" w14:paraId="00000015">
      <w:pPr>
        <w:spacing w:line="36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GOMES, Orlando. Contratos. 26ª ed. Rio de Janeiro: Editora Forense, 2008.</w:t>
      </w:r>
    </w:p>
    <w:p w:rsidR="00000000" w:rsidDel="00000000" w:rsidP="00000000" w:rsidRDefault="00000000" w:rsidRPr="00000000" w14:paraId="00000016">
      <w:pPr>
        <w:spacing w:line="36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VEIGA, Fábio da Silva; GUTINIEKI, João Otávio Bacchi. “Estruturalismo, Desenvolvimento e Legislação Comercial”, in: Revista Jurídica, vol. 2, n. 55, 2019, p. 157-176. e-ISSN: 2316-753X.</w:t>
      </w:r>
    </w:p>
    <w:p w:rsidR="00000000" w:rsidDel="00000000" w:rsidP="00000000" w:rsidRDefault="00000000" w:rsidRPr="00000000" w14:paraId="00000017">
      <w:pPr>
        <w:spacing w:line="360" w:lineRule="auto"/>
        <w:ind w:left="0" w:firstLine="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18">
      <w:pPr>
        <w:spacing w:line="360" w:lineRule="auto"/>
        <w:ind w:left="0" w:firstLine="0"/>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9">
      <w:pPr>
        <w:ind w:firstLine="708.6614173228347"/>
        <w:rPr>
          <w:rFonts w:ascii="Garamond" w:cs="Garamond" w:eastAsia="Garamond" w:hAnsi="Garamond"/>
          <w:sz w:val="24"/>
          <w:szCs w:val="24"/>
        </w:rPr>
      </w:pPr>
      <w:r w:rsidDel="00000000" w:rsidR="00000000" w:rsidRPr="00000000">
        <w:rPr>
          <w:rtl w:val="0"/>
        </w:rPr>
      </w:r>
    </w:p>
    <w:sectPr>
      <w:pgSz w:h="16838" w:w="11906" w:orient="portrait"/>
      <w:pgMar w:bottom="1133.8582677165355" w:top="1700.7874015748032"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BM Plex Serif">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A">
      <w:pPr>
        <w:spacing w:line="240" w:lineRule="auto"/>
        <w:rPr>
          <w:rFonts w:ascii="Garamond" w:cs="Garamond" w:eastAsia="Garamond" w:hAnsi="Garamond"/>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z w:val="20"/>
          <w:szCs w:val="20"/>
          <w:rtl w:val="0"/>
        </w:rPr>
        <w:t xml:space="preserve"> Professora de … pela Universidade XYZ. E-mail: mariana. …..@gmail.com. Link ORCID: h</w:t>
      </w:r>
      <w:r w:rsidDel="00000000" w:rsidR="00000000" w:rsidRPr="00000000">
        <w:rPr>
          <w:rFonts w:ascii="Garamond" w:cs="Garamond" w:eastAsia="Garamond" w:hAnsi="Garamond"/>
          <w:sz w:val="20"/>
          <w:szCs w:val="20"/>
          <w:rtl w:val="0"/>
        </w:rPr>
        <w:t xml:space="preserve">ttps://orcid.org/0000-0000-0000-000. </w:t>
      </w:r>
      <w:r w:rsidDel="00000000" w:rsidR="00000000" w:rsidRPr="00000000">
        <w:rPr>
          <w:rtl w:val="0"/>
        </w:rPr>
      </w:r>
    </w:p>
  </w:footnote>
  <w:footnote w:id="1">
    <w:p w:rsidR="00000000" w:rsidDel="00000000" w:rsidP="00000000" w:rsidRDefault="00000000" w:rsidRPr="00000000" w14:paraId="0000001B">
      <w:pPr>
        <w:spacing w:line="240" w:lineRule="auto"/>
        <w:rPr>
          <w:rFonts w:ascii="Garamond" w:cs="Garamond" w:eastAsia="Garamond" w:hAnsi="Garamond"/>
          <w:sz w:val="20"/>
          <w:szCs w:val="20"/>
        </w:rPr>
      </w:pPr>
      <w:r w:rsidDel="00000000" w:rsidR="00000000" w:rsidRPr="00000000">
        <w:rPr>
          <w:rStyle w:val="FootnoteReference"/>
          <w:vertAlign w:val="superscript"/>
        </w:rPr>
        <w:footnoteRef/>
      </w:r>
      <w:r w:rsidDel="00000000" w:rsidR="00000000" w:rsidRPr="00000000">
        <w:rPr>
          <w:rFonts w:ascii="Garamond" w:cs="Garamond" w:eastAsia="Garamond" w:hAnsi="Garamond"/>
          <w:sz w:val="20"/>
          <w:szCs w:val="20"/>
          <w:rtl w:val="0"/>
        </w:rPr>
        <w:t xml:space="preserve"> E mesmo nos países do common law, p.ex., os American Restatements.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IBM Plex Serif" w:cs="IBM Plex Serif" w:eastAsia="IBM Plex Serif" w:hAnsi="IBM Plex Serif"/>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240" w:before="240" w:lineRule="auto"/>
      <w:ind w:left="360"/>
    </w:pPr>
    <w:rPr>
      <w:rFonts w:ascii="Times New Roman" w:cs="Times New Roman" w:eastAsia="Times New Roman" w:hAnsi="Times New Roman"/>
      <w:b w:val="1"/>
      <w:sz w:val="28"/>
      <w:szCs w:val="28"/>
    </w:rPr>
  </w:style>
  <w:style w:type="paragraph" w:styleId="Subtitle">
    <w:name w:val="Subtitle"/>
    <w:basedOn w:val="Normal"/>
    <w:next w:val="Normal"/>
    <w:pPr>
      <w:keepNext w:val="1"/>
      <w:keepLines w:val="1"/>
      <w:spacing w:after="240" w:before="240" w:lineRule="auto"/>
      <w:ind w:left="360"/>
    </w:pPr>
    <w:rPr>
      <w:rFonts w:ascii="Times New Roman" w:cs="Times New Roman" w:eastAsia="Times New Roman" w:hAnsi="Times New Roman"/>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IBMPlexSerif-regular.ttf"/><Relationship Id="rId6" Type="http://schemas.openxmlformats.org/officeDocument/2006/relationships/font" Target="fonts/IBMPlexSerif-bold.ttf"/><Relationship Id="rId7" Type="http://schemas.openxmlformats.org/officeDocument/2006/relationships/font" Target="fonts/IBMPlexSerif-italic.ttf"/><Relationship Id="rId8" Type="http://schemas.openxmlformats.org/officeDocument/2006/relationships/font" Target="fonts/IBMPlex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