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336C" w14:textId="77777777" w:rsidR="00B541CA" w:rsidRPr="00C70738" w:rsidRDefault="000711AD" w:rsidP="00BF178C">
      <w:pPr>
        <w:spacing w:before="50" w:after="50"/>
        <w:ind w:left="1701" w:right="1701" w:firstLine="0"/>
        <w:jc w:val="center"/>
        <w:rPr>
          <w:rFonts w:ascii="Garamond" w:hAnsi="Garamond"/>
          <w:b/>
        </w:rPr>
      </w:pPr>
      <w:r w:rsidRPr="00C70738">
        <w:rPr>
          <w:rFonts w:ascii="Garamond" w:hAnsi="Garamond"/>
          <w:b/>
        </w:rPr>
        <w:t>Título do artigo no idioma escolhido</w:t>
      </w:r>
    </w:p>
    <w:p w14:paraId="483081FD" w14:textId="77777777" w:rsidR="00473418" w:rsidRPr="00C70738" w:rsidRDefault="000711AD" w:rsidP="00102B70">
      <w:pPr>
        <w:ind w:firstLine="0"/>
        <w:jc w:val="center"/>
        <w:rPr>
          <w:rFonts w:ascii="Garamond" w:hAnsi="Garamond"/>
          <w:i/>
          <w:iCs/>
          <w:lang w:val="pt-PT"/>
        </w:rPr>
      </w:pPr>
      <w:r w:rsidRPr="00C70738">
        <w:rPr>
          <w:rFonts w:ascii="Garamond" w:hAnsi="Garamond"/>
          <w:i/>
          <w:iCs/>
          <w:lang w:val="pt-PT"/>
        </w:rPr>
        <w:t>Título do artigo em inglês</w:t>
      </w:r>
    </w:p>
    <w:p w14:paraId="07F792E4" w14:textId="77777777" w:rsidR="00102B70" w:rsidRPr="00C70738" w:rsidRDefault="00102B70" w:rsidP="00102B70">
      <w:pPr>
        <w:ind w:firstLine="0"/>
        <w:jc w:val="center"/>
        <w:rPr>
          <w:rFonts w:ascii="Garamond" w:hAnsi="Garamond"/>
          <w:b/>
          <w:bCs/>
          <w:lang w:val="pt-PT"/>
        </w:rPr>
      </w:pPr>
    </w:p>
    <w:p w14:paraId="3FCAEF59" w14:textId="77777777" w:rsidR="00FA10AE" w:rsidRPr="00F779D5" w:rsidRDefault="000711AD" w:rsidP="00FA10AE">
      <w:pPr>
        <w:ind w:firstLine="0"/>
        <w:jc w:val="right"/>
        <w:rPr>
          <w:rFonts w:ascii="Garamond" w:hAnsi="Garamond"/>
          <w:sz w:val="20"/>
          <w:szCs w:val="20"/>
        </w:rPr>
      </w:pPr>
      <w:r w:rsidRPr="00F779D5">
        <w:rPr>
          <w:rFonts w:ascii="Garamond" w:eastAsiaTheme="minorHAnsi" w:hAnsi="Garamond" w:cstheme="minorBidi"/>
          <w:smallCaps/>
          <w:noProof/>
          <w:sz w:val="20"/>
          <w:szCs w:val="20"/>
          <w:lang w:val="it-IT" w:eastAsia="en-US"/>
        </w:rPr>
        <w:t>Nome completo autor</w:t>
      </w:r>
      <w:r w:rsidR="00FA10AE" w:rsidRPr="00F779D5">
        <w:rPr>
          <w:rStyle w:val="Refdenotaderodap"/>
          <w:rFonts w:ascii="Garamond" w:hAnsi="Garamond"/>
          <w:sz w:val="20"/>
          <w:szCs w:val="20"/>
        </w:rPr>
        <w:footnoteReference w:id="1"/>
      </w:r>
    </w:p>
    <w:p w14:paraId="674CFDD9" w14:textId="77777777" w:rsidR="00FA10AE" w:rsidRPr="00C70738" w:rsidRDefault="000711AD" w:rsidP="00FA10AE">
      <w:pPr>
        <w:ind w:firstLine="0"/>
        <w:jc w:val="right"/>
        <w:rPr>
          <w:rFonts w:ascii="Garamond" w:hAnsi="Garamond"/>
        </w:rPr>
      </w:pPr>
      <w:r w:rsidRPr="00F779D5">
        <w:rPr>
          <w:rFonts w:ascii="Garamond" w:eastAsiaTheme="minorHAnsi" w:hAnsi="Garamond" w:cstheme="minorBidi"/>
          <w:smallCaps/>
          <w:noProof/>
          <w:sz w:val="20"/>
          <w:szCs w:val="20"/>
          <w:lang w:val="it-IT" w:eastAsia="en-US"/>
        </w:rPr>
        <w:t>Nome completo coautor</w:t>
      </w:r>
      <w:r w:rsidR="00FA10AE" w:rsidRPr="00C70738">
        <w:rPr>
          <w:rStyle w:val="Refdenotaderodap"/>
          <w:rFonts w:ascii="Garamond" w:hAnsi="Garamond"/>
        </w:rPr>
        <w:footnoteReference w:id="2"/>
      </w:r>
    </w:p>
    <w:p w14:paraId="0FB369D7" w14:textId="77777777" w:rsidR="00103C5A" w:rsidRPr="00C70738" w:rsidRDefault="00103C5A" w:rsidP="00C70738">
      <w:pPr>
        <w:spacing w:line="240" w:lineRule="auto"/>
        <w:ind w:firstLine="0"/>
        <w:rPr>
          <w:rFonts w:ascii="Garamond" w:hAnsi="Garamond"/>
          <w:b/>
        </w:rPr>
      </w:pPr>
    </w:p>
    <w:p w14:paraId="70F0282E" w14:textId="4EE8B151" w:rsidR="00102B70" w:rsidRPr="00C70738" w:rsidRDefault="00102B70" w:rsidP="00C70738">
      <w:pPr>
        <w:spacing w:before="120" w:after="120" w:line="240" w:lineRule="auto"/>
        <w:ind w:firstLine="0"/>
        <w:contextualSpacing/>
        <w:rPr>
          <w:rFonts w:ascii="Garamond" w:hAnsi="Garamond"/>
          <w:bCs/>
          <w:lang w:val="es-ES_tradnl"/>
        </w:rPr>
      </w:pPr>
      <w:r w:rsidRPr="00C70738">
        <w:rPr>
          <w:rFonts w:ascii="Garamond" w:hAnsi="Garamond"/>
          <w:b/>
        </w:rPr>
        <w:t xml:space="preserve">Sumário: </w:t>
      </w:r>
      <w:r w:rsidR="000711AD" w:rsidRPr="00C70738">
        <w:rPr>
          <w:rFonts w:ascii="Garamond" w:hAnsi="Garamond"/>
          <w:lang w:val="es-ES_tradnl"/>
        </w:rPr>
        <w:t xml:space="preserve">1. </w:t>
      </w:r>
      <w:proofErr w:type="spellStart"/>
      <w:r w:rsidR="000711AD" w:rsidRPr="00C70738">
        <w:rPr>
          <w:rFonts w:ascii="Garamond" w:hAnsi="Garamond"/>
          <w:lang w:val="es-ES_tradnl"/>
        </w:rPr>
        <w:t>Aaaaaaaaaa</w:t>
      </w:r>
      <w:proofErr w:type="spellEnd"/>
      <w:r w:rsidR="000711AD" w:rsidRPr="00C70738">
        <w:rPr>
          <w:rFonts w:ascii="Garamond" w:hAnsi="Garamond"/>
          <w:lang w:val="es-ES_tradnl"/>
        </w:rPr>
        <w:t xml:space="preserve">. 2. </w:t>
      </w:r>
      <w:proofErr w:type="spellStart"/>
      <w:r w:rsidR="000711AD" w:rsidRPr="00C70738">
        <w:rPr>
          <w:rFonts w:ascii="Garamond" w:hAnsi="Garamond"/>
          <w:lang w:val="es-ES_tradnl"/>
        </w:rPr>
        <w:t>Bbbbbbbbbb</w:t>
      </w:r>
      <w:proofErr w:type="spellEnd"/>
      <w:r w:rsidR="000711AD" w:rsidRPr="00C70738">
        <w:rPr>
          <w:rFonts w:ascii="Garamond" w:hAnsi="Garamond"/>
          <w:lang w:val="es-ES_tradnl"/>
        </w:rPr>
        <w:t xml:space="preserve">. 2.1. </w:t>
      </w:r>
      <w:proofErr w:type="spellStart"/>
      <w:r w:rsidR="000711AD" w:rsidRPr="00C70738">
        <w:rPr>
          <w:rFonts w:ascii="Garamond" w:hAnsi="Garamond"/>
          <w:lang w:val="es-ES_tradnl"/>
        </w:rPr>
        <w:t>Bbbbb</w:t>
      </w:r>
      <w:proofErr w:type="spellEnd"/>
      <w:r w:rsidR="000711AD" w:rsidRPr="00C70738">
        <w:rPr>
          <w:rFonts w:ascii="Garamond" w:hAnsi="Garamond"/>
          <w:lang w:val="es-ES_tradnl"/>
        </w:rPr>
        <w:t xml:space="preserve">. 3. </w:t>
      </w:r>
      <w:proofErr w:type="spellStart"/>
      <w:r w:rsidR="000711AD" w:rsidRPr="00C70738">
        <w:rPr>
          <w:rFonts w:ascii="Garamond" w:hAnsi="Garamond"/>
          <w:lang w:val="es-ES_tradnl"/>
        </w:rPr>
        <w:t>Ccccccccccc</w:t>
      </w:r>
      <w:proofErr w:type="spellEnd"/>
      <w:r w:rsidR="000711AD" w:rsidRPr="00C70738">
        <w:rPr>
          <w:rFonts w:ascii="Garamond" w:hAnsi="Garamond"/>
          <w:lang w:val="es-ES_tradnl"/>
        </w:rPr>
        <w:t xml:space="preserve">. 4. </w:t>
      </w:r>
      <w:proofErr w:type="spellStart"/>
      <w:r w:rsidR="000711AD" w:rsidRPr="00C70738">
        <w:rPr>
          <w:rFonts w:ascii="Garamond" w:hAnsi="Garamond"/>
          <w:lang w:val="es-ES_tradnl"/>
        </w:rPr>
        <w:t>Conclusão</w:t>
      </w:r>
      <w:proofErr w:type="spellEnd"/>
      <w:r w:rsidR="000711AD" w:rsidRPr="00C70738">
        <w:rPr>
          <w:rFonts w:ascii="Garamond" w:hAnsi="Garamond"/>
          <w:lang w:val="es-ES_tradnl"/>
        </w:rPr>
        <w:t xml:space="preserve">.  </w:t>
      </w:r>
      <w:proofErr w:type="spellStart"/>
      <w:r w:rsidR="000711AD" w:rsidRPr="00C70738">
        <w:rPr>
          <w:rFonts w:ascii="Garamond" w:hAnsi="Garamond"/>
          <w:lang w:val="es-ES_tradnl"/>
        </w:rPr>
        <w:t>Bibliograf</w:t>
      </w:r>
      <w:r w:rsidR="007067B4">
        <w:rPr>
          <w:rFonts w:ascii="Garamond" w:hAnsi="Garamond"/>
          <w:lang w:val="es-ES_tradnl"/>
        </w:rPr>
        <w:t>i</w:t>
      </w:r>
      <w:r w:rsidR="000711AD" w:rsidRPr="00C70738">
        <w:rPr>
          <w:rFonts w:ascii="Garamond" w:hAnsi="Garamond"/>
          <w:lang w:val="es-ES_tradnl"/>
        </w:rPr>
        <w:t>a</w:t>
      </w:r>
      <w:proofErr w:type="spellEnd"/>
      <w:r w:rsidR="000711AD" w:rsidRPr="00C70738">
        <w:rPr>
          <w:rFonts w:ascii="Garamond" w:hAnsi="Garamond"/>
          <w:lang w:val="es-ES_tradnl"/>
        </w:rPr>
        <w:t>.</w:t>
      </w:r>
    </w:p>
    <w:p w14:paraId="48426D10" w14:textId="77777777" w:rsidR="00102B70" w:rsidRPr="00C70738" w:rsidRDefault="00102B70" w:rsidP="00C70738">
      <w:pPr>
        <w:spacing w:before="120" w:after="120" w:line="240" w:lineRule="auto"/>
        <w:ind w:firstLine="0"/>
        <w:contextualSpacing/>
        <w:rPr>
          <w:rFonts w:ascii="Garamond" w:hAnsi="Garamond"/>
          <w:b/>
          <w:lang w:val="es-ES_tradnl"/>
        </w:rPr>
      </w:pPr>
    </w:p>
    <w:p w14:paraId="375EDE7F" w14:textId="77777777" w:rsidR="00103C5A" w:rsidRPr="00C70738" w:rsidRDefault="00981449" w:rsidP="00C70738">
      <w:pPr>
        <w:pStyle w:val="RLDEResumen"/>
        <w:rPr>
          <w:sz w:val="24"/>
          <w:szCs w:val="24"/>
          <w:lang w:val="es-ES_tradnl"/>
        </w:rPr>
      </w:pPr>
      <w:r w:rsidRPr="00C70738">
        <w:rPr>
          <w:b/>
          <w:sz w:val="24"/>
          <w:szCs w:val="24"/>
        </w:rPr>
        <w:t xml:space="preserve">Resumo: </w:t>
      </w:r>
      <w:r w:rsidR="000711AD" w:rsidRPr="00C70738">
        <w:rPr>
          <w:sz w:val="24"/>
          <w:szCs w:val="24"/>
          <w:highlight w:val="yellow"/>
          <w:lang w:val="es-ES_tradnl"/>
        </w:rPr>
        <w:t xml:space="preserve">de 200 a 400 </w:t>
      </w:r>
      <w:proofErr w:type="spellStart"/>
      <w:r w:rsidR="000711AD" w:rsidRPr="00C70738">
        <w:rPr>
          <w:sz w:val="24"/>
          <w:szCs w:val="24"/>
          <w:highlight w:val="yellow"/>
          <w:lang w:val="es-ES_tradnl"/>
        </w:rPr>
        <w:t>palavras</w:t>
      </w:r>
      <w:proofErr w:type="spellEnd"/>
      <w:r w:rsidR="000711AD" w:rsidRPr="00C70738">
        <w:rPr>
          <w:sz w:val="24"/>
          <w:szCs w:val="24"/>
          <w:lang w:val="es-ES_tradnl"/>
        </w:rPr>
        <w:t xml:space="preserve">.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.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.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.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x </w:t>
      </w:r>
      <w:proofErr w:type="spellStart"/>
      <w:r w:rsidR="000711AD" w:rsidRPr="00C70738">
        <w:rPr>
          <w:sz w:val="24"/>
          <w:szCs w:val="24"/>
          <w:lang w:val="es-ES_tradnl"/>
        </w:rPr>
        <w:t>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.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.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.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xxxxxxxxxxxxxxxxx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 xml:space="preserve"> </w:t>
      </w:r>
      <w:proofErr w:type="spellStart"/>
      <w:r w:rsidR="000711AD" w:rsidRPr="00C70738">
        <w:rPr>
          <w:sz w:val="24"/>
          <w:szCs w:val="24"/>
          <w:lang w:val="es-ES_tradnl"/>
        </w:rPr>
        <w:t>xxxx</w:t>
      </w:r>
      <w:proofErr w:type="spellEnd"/>
      <w:r w:rsidR="000711AD" w:rsidRPr="00C70738">
        <w:rPr>
          <w:sz w:val="24"/>
          <w:szCs w:val="24"/>
          <w:lang w:val="es-ES_tradnl"/>
        </w:rPr>
        <w:t>.</w:t>
      </w:r>
    </w:p>
    <w:p w14:paraId="4D8A8640" w14:textId="77777777" w:rsidR="00103C5A" w:rsidRPr="00C70738" w:rsidRDefault="00981449" w:rsidP="00C70738">
      <w:pPr>
        <w:spacing w:line="240" w:lineRule="auto"/>
        <w:ind w:firstLine="0"/>
        <w:rPr>
          <w:rFonts w:ascii="Garamond" w:hAnsi="Garamond"/>
          <w:lang w:val="es-ES_tradnl"/>
        </w:rPr>
      </w:pPr>
      <w:proofErr w:type="spellStart"/>
      <w:r w:rsidRPr="00C70738">
        <w:rPr>
          <w:rFonts w:ascii="Garamond" w:hAnsi="Garamond"/>
          <w:b/>
          <w:lang w:val="es-ES_tradnl"/>
        </w:rPr>
        <w:t>Palavras</w:t>
      </w:r>
      <w:proofErr w:type="spellEnd"/>
      <w:r w:rsidRPr="00C70738">
        <w:rPr>
          <w:rFonts w:ascii="Garamond" w:hAnsi="Garamond"/>
          <w:b/>
          <w:lang w:val="es-ES_tradnl"/>
        </w:rPr>
        <w:t>-chave:</w:t>
      </w:r>
      <w:r w:rsidR="000711AD" w:rsidRPr="00C70738">
        <w:rPr>
          <w:rFonts w:ascii="Garamond" w:hAnsi="Garamond"/>
          <w:lang w:val="es-ES_tradnl"/>
        </w:rPr>
        <w:t xml:space="preserve"> </w:t>
      </w:r>
      <w:r w:rsidR="000711AD" w:rsidRPr="00C70738">
        <w:rPr>
          <w:rFonts w:ascii="Garamond" w:hAnsi="Garamond"/>
          <w:highlight w:val="yellow"/>
          <w:lang w:val="es-ES_tradnl"/>
        </w:rPr>
        <w:t xml:space="preserve">de 3 a 5 </w:t>
      </w:r>
      <w:proofErr w:type="spellStart"/>
      <w:r w:rsidR="000711AD" w:rsidRPr="00C70738">
        <w:rPr>
          <w:rFonts w:ascii="Garamond" w:hAnsi="Garamond"/>
          <w:highlight w:val="yellow"/>
          <w:lang w:val="es-ES_tradnl"/>
        </w:rPr>
        <w:t>palavras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; </w:t>
      </w:r>
      <w:proofErr w:type="spellStart"/>
      <w:r w:rsidR="000711AD" w:rsidRPr="00C70738">
        <w:rPr>
          <w:rFonts w:ascii="Garamond" w:hAnsi="Garamond"/>
          <w:lang w:val="es-ES_tradnl"/>
        </w:rPr>
        <w:t>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; </w:t>
      </w:r>
      <w:proofErr w:type="spellStart"/>
      <w:r w:rsidR="000711AD" w:rsidRPr="00C70738">
        <w:rPr>
          <w:rFonts w:ascii="Garamond" w:hAnsi="Garamond"/>
          <w:lang w:val="es-ES_tradnl"/>
        </w:rPr>
        <w:t>xxxxxxxxxxxxx</w:t>
      </w:r>
      <w:proofErr w:type="spellEnd"/>
      <w:r w:rsidR="000711AD" w:rsidRPr="00C70738">
        <w:rPr>
          <w:rFonts w:ascii="Garamond" w:hAnsi="Garamond"/>
          <w:lang w:val="es-ES_tradnl"/>
        </w:rPr>
        <w:t>.</w:t>
      </w:r>
    </w:p>
    <w:p w14:paraId="564D3677" w14:textId="77777777" w:rsidR="00103C5A" w:rsidRPr="00C70738" w:rsidRDefault="00103C5A" w:rsidP="00C70738">
      <w:pPr>
        <w:spacing w:line="240" w:lineRule="auto"/>
        <w:ind w:firstLine="0"/>
        <w:rPr>
          <w:rFonts w:ascii="Garamond" w:hAnsi="Garamond"/>
          <w:bCs/>
          <w:lang w:val="es-ES_tradnl"/>
        </w:rPr>
      </w:pPr>
    </w:p>
    <w:p w14:paraId="6B2F5EAD" w14:textId="77777777" w:rsidR="00103C5A" w:rsidRPr="00C70738" w:rsidRDefault="009A573E" w:rsidP="00C70738">
      <w:pPr>
        <w:spacing w:line="240" w:lineRule="auto"/>
        <w:ind w:firstLine="0"/>
        <w:rPr>
          <w:rFonts w:ascii="Garamond" w:hAnsi="Garamond"/>
          <w:bCs/>
          <w:lang w:val="es-ES_tradnl"/>
        </w:rPr>
      </w:pPr>
      <w:proofErr w:type="spellStart"/>
      <w:r w:rsidRPr="00C70738">
        <w:rPr>
          <w:rFonts w:ascii="Garamond" w:hAnsi="Garamond"/>
          <w:b/>
          <w:lang w:val="it-IT"/>
        </w:rPr>
        <w:t>Abstract</w:t>
      </w:r>
      <w:proofErr w:type="spellEnd"/>
      <w:r w:rsidRPr="00C70738">
        <w:rPr>
          <w:rFonts w:ascii="Garamond" w:hAnsi="Garamond"/>
          <w:b/>
          <w:lang w:val="it-IT"/>
        </w:rPr>
        <w:t>:</w:t>
      </w:r>
      <w:r w:rsidR="000711AD" w:rsidRPr="00C70738">
        <w:rPr>
          <w:rFonts w:ascii="Garamond" w:hAnsi="Garamond"/>
          <w:b/>
          <w:lang w:val="it-IT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.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.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.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.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xxxxxxxxxxxxxxxxx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 </w:t>
      </w:r>
      <w:proofErr w:type="spellStart"/>
      <w:r w:rsidR="000711AD" w:rsidRPr="00C70738">
        <w:rPr>
          <w:rFonts w:ascii="Garamond" w:hAnsi="Garamond"/>
          <w:lang w:val="es-ES_tradnl"/>
        </w:rPr>
        <w:t>xxxx</w:t>
      </w:r>
      <w:proofErr w:type="spellEnd"/>
      <w:r w:rsidR="000711AD" w:rsidRPr="00C70738">
        <w:rPr>
          <w:rFonts w:ascii="Garamond" w:hAnsi="Garamond"/>
          <w:lang w:val="es-ES_tradnl"/>
        </w:rPr>
        <w:t>.</w:t>
      </w:r>
    </w:p>
    <w:p w14:paraId="134FFED3" w14:textId="77777777" w:rsidR="009A573E" w:rsidRPr="00C70738" w:rsidRDefault="009A573E" w:rsidP="00C70738">
      <w:pPr>
        <w:spacing w:line="240" w:lineRule="auto"/>
        <w:ind w:firstLine="0"/>
        <w:rPr>
          <w:rFonts w:ascii="Garamond" w:hAnsi="Garamond"/>
          <w:lang w:val="en-GB"/>
        </w:rPr>
      </w:pPr>
      <w:r w:rsidRPr="00C70738">
        <w:rPr>
          <w:rFonts w:ascii="Garamond" w:hAnsi="Garamond"/>
          <w:b/>
          <w:bCs/>
          <w:lang w:val="en-GB"/>
        </w:rPr>
        <w:t xml:space="preserve">Keywords: </w:t>
      </w:r>
      <w:proofErr w:type="spellStart"/>
      <w:r w:rsidR="000711AD" w:rsidRPr="00C70738">
        <w:rPr>
          <w:rFonts w:ascii="Garamond" w:hAnsi="Garamond"/>
          <w:lang w:val="es-ES_tradnl"/>
        </w:rPr>
        <w:t>Xxxxxxxxxxx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; </w:t>
      </w:r>
      <w:proofErr w:type="spellStart"/>
      <w:r w:rsidR="000711AD" w:rsidRPr="00C70738">
        <w:rPr>
          <w:rFonts w:ascii="Garamond" w:hAnsi="Garamond"/>
          <w:lang w:val="es-ES_tradnl"/>
        </w:rPr>
        <w:t>xxxxxx</w:t>
      </w:r>
      <w:proofErr w:type="spellEnd"/>
      <w:r w:rsidR="000711AD" w:rsidRPr="00C70738">
        <w:rPr>
          <w:rFonts w:ascii="Garamond" w:hAnsi="Garamond"/>
          <w:lang w:val="es-ES_tradnl"/>
        </w:rPr>
        <w:t xml:space="preserve">; </w:t>
      </w:r>
      <w:proofErr w:type="spellStart"/>
      <w:r w:rsidR="000711AD" w:rsidRPr="00C70738">
        <w:rPr>
          <w:rFonts w:ascii="Garamond" w:hAnsi="Garamond"/>
          <w:lang w:val="es-ES_tradnl"/>
        </w:rPr>
        <w:t>xxxxxxxxxxxxx</w:t>
      </w:r>
      <w:proofErr w:type="spellEnd"/>
      <w:r w:rsidR="000711AD" w:rsidRPr="00C70738">
        <w:rPr>
          <w:rFonts w:ascii="Garamond" w:hAnsi="Garamond"/>
          <w:lang w:val="es-ES_tradnl"/>
        </w:rPr>
        <w:t>.</w:t>
      </w:r>
    </w:p>
    <w:p w14:paraId="7EEF8E62" w14:textId="77777777" w:rsidR="00103C5A" w:rsidRPr="00C70738" w:rsidRDefault="00103C5A" w:rsidP="00C70738">
      <w:pPr>
        <w:spacing w:line="240" w:lineRule="auto"/>
        <w:ind w:firstLine="0"/>
        <w:rPr>
          <w:rFonts w:ascii="Garamond" w:hAnsi="Garamond"/>
          <w:b/>
          <w:lang w:val="en-US"/>
        </w:rPr>
      </w:pPr>
    </w:p>
    <w:p w14:paraId="47364C79" w14:textId="77777777" w:rsidR="00103C5A" w:rsidRPr="00C70738" w:rsidRDefault="000711AD" w:rsidP="00C70738">
      <w:pPr>
        <w:pStyle w:val="PargrafodaLista"/>
        <w:numPr>
          <w:ilvl w:val="0"/>
          <w:numId w:val="2"/>
        </w:numPr>
        <w:ind w:left="0" w:firstLine="709"/>
        <w:rPr>
          <w:rFonts w:ascii="Garamond" w:hAnsi="Garamond"/>
          <w:b/>
        </w:rPr>
      </w:pPr>
      <w:proofErr w:type="spellStart"/>
      <w:r w:rsidRPr="00C70738">
        <w:rPr>
          <w:rFonts w:ascii="Garamond" w:hAnsi="Garamond"/>
          <w:b/>
        </w:rPr>
        <w:t>Aaaaaaaaaaaa</w:t>
      </w:r>
      <w:proofErr w:type="spellEnd"/>
    </w:p>
    <w:p w14:paraId="09209600" w14:textId="77777777" w:rsidR="00F65832" w:rsidRPr="00C70738" w:rsidRDefault="00F65832" w:rsidP="00C70738">
      <w:pPr>
        <w:ind w:firstLine="709"/>
        <w:rPr>
          <w:rFonts w:ascii="Garamond" w:hAnsi="Garamond"/>
          <w:lang w:val="pt-PT"/>
        </w:rPr>
      </w:pPr>
      <w:r w:rsidRPr="00C70738">
        <w:rPr>
          <w:rFonts w:ascii="Garamond" w:hAnsi="Garamond"/>
          <w:lang w:val="pt-PT"/>
        </w:rPr>
        <w:t xml:space="preserve">O artigo 38 da Constituição Espanhola (CE) de 1978, vigente, reconhece a </w:t>
      </w:r>
      <w:r w:rsidRPr="00C70738">
        <w:rPr>
          <w:rFonts w:ascii="Garamond" w:hAnsi="Garamond"/>
          <w:i/>
          <w:iCs/>
          <w:lang w:val="pt-PT"/>
        </w:rPr>
        <w:t xml:space="preserve">liberdade de empresa </w:t>
      </w:r>
      <w:r w:rsidRPr="00C70738">
        <w:rPr>
          <w:rFonts w:ascii="Garamond" w:hAnsi="Garamond"/>
          <w:lang w:val="pt-PT"/>
        </w:rPr>
        <w:t xml:space="preserve">na estrutura da economia de mercado. Este artigo é conhecido como o substrato da </w:t>
      </w:r>
      <w:r w:rsidRPr="00C70738">
        <w:rPr>
          <w:rFonts w:ascii="Garamond" w:hAnsi="Garamond" w:cs="Calibri"/>
          <w:lang w:val="pt-PT"/>
        </w:rPr>
        <w:t>«</w:t>
      </w:r>
      <w:r w:rsidRPr="00C70738">
        <w:rPr>
          <w:rFonts w:ascii="Garamond" w:hAnsi="Garamond"/>
          <w:lang w:val="pt-PT"/>
        </w:rPr>
        <w:t>Constituição Econômica</w:t>
      </w:r>
      <w:r w:rsidRPr="00C70738">
        <w:rPr>
          <w:rFonts w:ascii="Garamond" w:hAnsi="Garamond" w:cs="Calibri"/>
          <w:lang w:val="pt-PT"/>
        </w:rPr>
        <w:t>»</w:t>
      </w:r>
      <w:r w:rsidRPr="00C70738">
        <w:rPr>
          <w:rFonts w:ascii="Garamond" w:hAnsi="Garamond"/>
          <w:lang w:val="pt-PT"/>
        </w:rPr>
        <w:t xml:space="preserve">, pois do seu preceito, a Constituição projeta no ordenamento jurídico espanhol </w:t>
      </w:r>
      <w:r w:rsidRPr="00C70738">
        <w:rPr>
          <w:rFonts w:ascii="Garamond" w:hAnsi="Garamond"/>
          <w:i/>
          <w:iCs/>
          <w:lang w:val="pt-PT"/>
        </w:rPr>
        <w:t xml:space="preserve">a proteção da liberdade de empresa e a defesa da sua produtividade, garantida pelas </w:t>
      </w:r>
      <w:r w:rsidRPr="00C70738">
        <w:rPr>
          <w:rFonts w:ascii="Garamond" w:hAnsi="Garamond"/>
          <w:i/>
          <w:iCs/>
          <w:lang w:val="pt-PT"/>
        </w:rPr>
        <w:lastRenderedPageBreak/>
        <w:t xml:space="preserve">autoridades públicas, de acordo com os requisitos da economia geral e, quando apropriado, do </w:t>
      </w:r>
      <w:proofErr w:type="spellStart"/>
      <w:r w:rsidRPr="00C70738">
        <w:rPr>
          <w:rFonts w:ascii="Garamond" w:hAnsi="Garamond"/>
          <w:i/>
          <w:iCs/>
          <w:lang w:val="pt-PT"/>
        </w:rPr>
        <w:t>planejamento</w:t>
      </w:r>
      <w:proofErr w:type="spellEnd"/>
      <w:r w:rsidRPr="00C70738">
        <w:rPr>
          <w:rStyle w:val="Refdenotaderodap"/>
          <w:rFonts w:ascii="Garamond" w:hAnsi="Garamond"/>
          <w:i/>
          <w:iCs/>
          <w:lang w:val="pt-PT"/>
        </w:rPr>
        <w:footnoteReference w:id="3"/>
      </w:r>
      <w:r w:rsidRPr="00C70738">
        <w:rPr>
          <w:rFonts w:ascii="Garamond" w:hAnsi="Garamond"/>
          <w:lang w:val="pt-PT"/>
        </w:rPr>
        <w:t xml:space="preserve">.  A </w:t>
      </w:r>
      <w:r w:rsidRPr="00C70738">
        <w:rPr>
          <w:rFonts w:ascii="Garamond" w:hAnsi="Garamond"/>
          <w:i/>
          <w:iCs/>
          <w:lang w:val="pt-PT"/>
        </w:rPr>
        <w:t>Constituição Econômica</w:t>
      </w:r>
      <w:r w:rsidRPr="00C70738">
        <w:rPr>
          <w:rFonts w:ascii="Garamond" w:hAnsi="Garamond"/>
          <w:lang w:val="pt-PT"/>
        </w:rPr>
        <w:t xml:space="preserve"> se refere, portanto, ao conjunto de regras destinadas a proporcionar o marco fundamental para a estrutura e o funcionamento da atividade econômica no território espanhol.</w:t>
      </w:r>
    </w:p>
    <w:p w14:paraId="422741E3" w14:textId="77777777" w:rsidR="00420BAC" w:rsidRPr="00C70738" w:rsidRDefault="00420BAC" w:rsidP="00A5098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Garamond" w:hAnsi="Garamond"/>
        </w:rPr>
      </w:pPr>
      <w:r w:rsidRPr="00C70738">
        <w:rPr>
          <w:rFonts w:ascii="Garamond" w:hAnsi="Garamond"/>
        </w:rPr>
        <w:t xml:space="preserve">De outro lado, o Tribunal Constitucional espanhol em diferentes ocasiões lidou com a questão do princípio da </w:t>
      </w:r>
      <w:r w:rsidRPr="00C70738">
        <w:rPr>
          <w:rFonts w:ascii="Garamond" w:hAnsi="Garamond"/>
          <w:i/>
          <w:iCs/>
        </w:rPr>
        <w:t>liberdade de empresa</w:t>
      </w:r>
      <w:r w:rsidRPr="00C70738">
        <w:rPr>
          <w:rFonts w:ascii="Garamond" w:hAnsi="Garamond"/>
        </w:rPr>
        <w:t xml:space="preserve"> relacionado à liberdade das pessoas de criar empresas, de atuar no mercado, de estabelecer objetivos próprios da empresa e de direcionar e planejar sua atividade com atenção aos recursos e condições do próprio mercado (STC 225/1993, FJ. 3.B). Nesse sentido, cabe deduzir que a «economia de mercado» é o marco onde se exerce a liberdade de empresa. A Sentença do Tribunal Constitucional (STC 88/1986 de 1º de julho), reiterou a doutrina anterior (Sentencia 71/1982), onde referia o «reconhecimento da economia de mercado pela Constituição como quadro obrigatório ao exercício da liberdade de empresa e, o compromisso de proteger o exercício desta por parte dos poderes públicos supõe a necessidade de uma atuação especificamente direcionada a defender tais objetivos constitucionais». Compreende HERRERO DE MIÑON</w:t>
      </w:r>
      <w:r w:rsidRPr="00C70738">
        <w:rPr>
          <w:rStyle w:val="Refdenotaderodap"/>
          <w:rFonts w:ascii="Garamond" w:hAnsi="Garamond"/>
        </w:rPr>
        <w:footnoteReference w:id="4"/>
      </w:r>
      <w:r w:rsidRPr="00C70738">
        <w:rPr>
          <w:rFonts w:ascii="Garamond" w:hAnsi="Garamond"/>
        </w:rPr>
        <w:t xml:space="preserve"> que essa interpretação constitucional condiz ao seguinte: as intervenções públicas na economia de mercado não devem ser dirigidas numa atuação do Estado </w:t>
      </w:r>
      <w:r w:rsidRPr="00C70738">
        <w:rPr>
          <w:rFonts w:ascii="Garamond" w:hAnsi="Garamond"/>
          <w:i/>
          <w:iCs/>
        </w:rPr>
        <w:t>no</w:t>
      </w:r>
      <w:r w:rsidRPr="00C70738">
        <w:rPr>
          <w:rFonts w:ascii="Garamond" w:hAnsi="Garamond"/>
        </w:rPr>
        <w:t xml:space="preserve"> mercado (como expõe o </w:t>
      </w:r>
      <w:proofErr w:type="spellStart"/>
      <w:r w:rsidRPr="00C70738">
        <w:rPr>
          <w:rFonts w:ascii="Garamond" w:hAnsi="Garamond"/>
        </w:rPr>
        <w:t>art</w:t>
      </w:r>
      <w:proofErr w:type="spellEnd"/>
      <w:r w:rsidRPr="00C70738">
        <w:rPr>
          <w:rFonts w:ascii="Garamond" w:hAnsi="Garamond"/>
        </w:rPr>
        <w:t xml:space="preserve">. 128, 1 da CE), mas, entretanto, a uma atuação </w:t>
      </w:r>
      <w:r w:rsidRPr="00C70738">
        <w:rPr>
          <w:rFonts w:ascii="Garamond" w:hAnsi="Garamond"/>
          <w:i/>
          <w:iCs/>
        </w:rPr>
        <w:t xml:space="preserve">sobre </w:t>
      </w:r>
      <w:r w:rsidRPr="00C70738">
        <w:rPr>
          <w:rFonts w:ascii="Garamond" w:hAnsi="Garamond"/>
        </w:rPr>
        <w:t>o mercado, conforme o elemento «</w:t>
      </w:r>
      <w:proofErr w:type="spellStart"/>
      <w:r w:rsidRPr="00C70738">
        <w:rPr>
          <w:rFonts w:ascii="Garamond" w:hAnsi="Garamond"/>
        </w:rPr>
        <w:t>planejamento</w:t>
      </w:r>
      <w:proofErr w:type="spellEnd"/>
      <w:r w:rsidRPr="00C70738">
        <w:rPr>
          <w:rFonts w:ascii="Garamond" w:hAnsi="Garamond"/>
        </w:rPr>
        <w:t xml:space="preserve">» composto no </w:t>
      </w:r>
      <w:proofErr w:type="spellStart"/>
      <w:r w:rsidRPr="00C70738">
        <w:rPr>
          <w:rFonts w:ascii="Garamond" w:hAnsi="Garamond"/>
        </w:rPr>
        <w:t>art</w:t>
      </w:r>
      <w:proofErr w:type="spellEnd"/>
      <w:r w:rsidRPr="00C70738">
        <w:rPr>
          <w:rFonts w:ascii="Garamond" w:hAnsi="Garamond"/>
        </w:rPr>
        <w:t>. 38 e 131 da Constituição Espanhola</w:t>
      </w:r>
      <w:r w:rsidRPr="00C70738">
        <w:rPr>
          <w:rStyle w:val="Refdenotaderodap"/>
          <w:rFonts w:ascii="Garamond" w:hAnsi="Garamond"/>
        </w:rPr>
        <w:footnoteReference w:id="5"/>
      </w:r>
      <w:r w:rsidRPr="00C70738">
        <w:rPr>
          <w:rFonts w:ascii="Garamond" w:hAnsi="Garamond"/>
        </w:rPr>
        <w:t>.</w:t>
      </w:r>
    </w:p>
    <w:p w14:paraId="77176AAB" w14:textId="77777777" w:rsidR="00E074C4" w:rsidRPr="00C70738" w:rsidRDefault="00E074C4" w:rsidP="00E074C4">
      <w:pPr>
        <w:ind w:firstLine="0"/>
        <w:rPr>
          <w:rFonts w:ascii="Garamond" w:hAnsi="Garamond"/>
        </w:rPr>
      </w:pPr>
    </w:p>
    <w:p w14:paraId="58640DB8" w14:textId="77777777" w:rsidR="000711AD" w:rsidRPr="00C70738" w:rsidRDefault="000711AD" w:rsidP="000711AD">
      <w:pPr>
        <w:pStyle w:val="RLDETitoloparagrafo"/>
        <w:rPr>
          <w:szCs w:val="24"/>
        </w:rPr>
      </w:pPr>
    </w:p>
    <w:p w14:paraId="116F1F64" w14:textId="77777777" w:rsidR="000711AD" w:rsidRPr="00F779D5" w:rsidRDefault="000711AD" w:rsidP="007A6F91">
      <w:pPr>
        <w:pStyle w:val="PargrafodaLista"/>
        <w:numPr>
          <w:ilvl w:val="0"/>
          <w:numId w:val="2"/>
        </w:numPr>
        <w:ind w:left="0" w:firstLine="709"/>
        <w:rPr>
          <w:rFonts w:ascii="Garamond" w:hAnsi="Garamond"/>
          <w:b/>
        </w:rPr>
      </w:pPr>
      <w:proofErr w:type="spellStart"/>
      <w:r w:rsidRPr="00C70738">
        <w:rPr>
          <w:rFonts w:ascii="Garamond" w:hAnsi="Garamond"/>
          <w:b/>
        </w:rPr>
        <w:t>Bbbbbbbbb</w:t>
      </w:r>
      <w:proofErr w:type="spellEnd"/>
    </w:p>
    <w:p w14:paraId="6F14071B" w14:textId="77777777" w:rsidR="000711AD" w:rsidRPr="00C70738" w:rsidRDefault="000711AD" w:rsidP="007A6F91">
      <w:pPr>
        <w:pStyle w:val="RLDETesto"/>
        <w:spacing w:line="360" w:lineRule="auto"/>
        <w:ind w:firstLine="709"/>
        <w:rPr>
          <w:szCs w:val="24"/>
        </w:rPr>
      </w:pPr>
      <w:r w:rsidRPr="00C70738">
        <w:rPr>
          <w:szCs w:val="24"/>
        </w:rPr>
        <w:t xml:space="preserve">De </w:t>
      </w:r>
      <w:proofErr w:type="spellStart"/>
      <w:r w:rsidRPr="00C70738">
        <w:rPr>
          <w:szCs w:val="24"/>
        </w:rPr>
        <w:t>outro</w:t>
      </w:r>
      <w:proofErr w:type="spellEnd"/>
      <w:r w:rsidRPr="00C70738">
        <w:rPr>
          <w:szCs w:val="24"/>
        </w:rPr>
        <w:t xml:space="preserve"> lado, o Tribunal Constitucional </w:t>
      </w:r>
      <w:proofErr w:type="spellStart"/>
      <w:r w:rsidRPr="00C70738">
        <w:rPr>
          <w:szCs w:val="24"/>
        </w:rPr>
        <w:t>espanhol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em</w:t>
      </w:r>
      <w:proofErr w:type="spellEnd"/>
      <w:r w:rsidRPr="00C70738">
        <w:rPr>
          <w:szCs w:val="24"/>
        </w:rPr>
        <w:t xml:space="preserve"> diferentes </w:t>
      </w:r>
      <w:proofErr w:type="spellStart"/>
      <w:r w:rsidRPr="00C70738">
        <w:rPr>
          <w:szCs w:val="24"/>
        </w:rPr>
        <w:t>ocasiões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lidou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com</w:t>
      </w:r>
      <w:proofErr w:type="spellEnd"/>
      <w:r w:rsidRPr="00C70738">
        <w:rPr>
          <w:szCs w:val="24"/>
        </w:rPr>
        <w:t xml:space="preserve"> a </w:t>
      </w:r>
      <w:proofErr w:type="spellStart"/>
      <w:r w:rsidRPr="00C70738">
        <w:rPr>
          <w:szCs w:val="24"/>
        </w:rPr>
        <w:t>questão</w:t>
      </w:r>
      <w:proofErr w:type="spellEnd"/>
      <w:r w:rsidRPr="00C70738">
        <w:rPr>
          <w:szCs w:val="24"/>
        </w:rPr>
        <w:t xml:space="preserve"> do </w:t>
      </w:r>
      <w:proofErr w:type="spellStart"/>
      <w:r w:rsidRPr="00C70738">
        <w:rPr>
          <w:szCs w:val="24"/>
        </w:rPr>
        <w:t>princípio</w:t>
      </w:r>
      <w:proofErr w:type="spellEnd"/>
      <w:r w:rsidRPr="00C70738">
        <w:rPr>
          <w:szCs w:val="24"/>
        </w:rPr>
        <w:t xml:space="preserve"> da </w:t>
      </w:r>
      <w:proofErr w:type="spellStart"/>
      <w:r w:rsidRPr="00C70738">
        <w:rPr>
          <w:i/>
          <w:iCs/>
          <w:szCs w:val="24"/>
        </w:rPr>
        <w:t>liberdade</w:t>
      </w:r>
      <w:proofErr w:type="spellEnd"/>
      <w:r w:rsidRPr="00C70738">
        <w:rPr>
          <w:i/>
          <w:iCs/>
          <w:szCs w:val="24"/>
        </w:rPr>
        <w:t xml:space="preserve"> de empresa</w:t>
      </w:r>
      <w:r w:rsidRPr="00C70738">
        <w:rPr>
          <w:szCs w:val="24"/>
        </w:rPr>
        <w:t xml:space="preserve"> relacionado à </w:t>
      </w:r>
      <w:proofErr w:type="spellStart"/>
      <w:r w:rsidRPr="00C70738">
        <w:rPr>
          <w:szCs w:val="24"/>
        </w:rPr>
        <w:t>liberdade</w:t>
      </w:r>
      <w:proofErr w:type="spellEnd"/>
      <w:r w:rsidRPr="00C70738">
        <w:rPr>
          <w:szCs w:val="24"/>
        </w:rPr>
        <w:t xml:space="preserve"> das </w:t>
      </w:r>
      <w:proofErr w:type="spellStart"/>
      <w:r w:rsidRPr="00C70738">
        <w:rPr>
          <w:szCs w:val="24"/>
        </w:rPr>
        <w:t>pessoas</w:t>
      </w:r>
      <w:proofErr w:type="spellEnd"/>
      <w:r w:rsidRPr="00C70738">
        <w:rPr>
          <w:szCs w:val="24"/>
        </w:rPr>
        <w:t xml:space="preserve"> de criar empresas, de </w:t>
      </w:r>
      <w:proofErr w:type="spellStart"/>
      <w:r w:rsidRPr="00C70738">
        <w:rPr>
          <w:szCs w:val="24"/>
        </w:rPr>
        <w:t>atuar</w:t>
      </w:r>
      <w:proofErr w:type="spellEnd"/>
      <w:r w:rsidRPr="00C70738">
        <w:rPr>
          <w:szCs w:val="24"/>
        </w:rPr>
        <w:t xml:space="preserve"> no mercado, de </w:t>
      </w:r>
      <w:proofErr w:type="spellStart"/>
      <w:r w:rsidRPr="00C70738">
        <w:rPr>
          <w:szCs w:val="24"/>
        </w:rPr>
        <w:t>estabelecer</w:t>
      </w:r>
      <w:proofErr w:type="spellEnd"/>
      <w:r w:rsidRPr="00C70738">
        <w:rPr>
          <w:szCs w:val="24"/>
        </w:rPr>
        <w:t xml:space="preserve"> objetivos </w:t>
      </w:r>
      <w:proofErr w:type="spellStart"/>
      <w:r w:rsidRPr="00C70738">
        <w:rPr>
          <w:szCs w:val="24"/>
        </w:rPr>
        <w:t>próprios</w:t>
      </w:r>
      <w:proofErr w:type="spellEnd"/>
      <w:r w:rsidRPr="00C70738">
        <w:rPr>
          <w:szCs w:val="24"/>
        </w:rPr>
        <w:t xml:space="preserve"> da empresa e de </w:t>
      </w:r>
      <w:proofErr w:type="spellStart"/>
      <w:r w:rsidRPr="00C70738">
        <w:rPr>
          <w:szCs w:val="24"/>
        </w:rPr>
        <w:t>direcionar</w:t>
      </w:r>
      <w:proofErr w:type="spellEnd"/>
      <w:r w:rsidRPr="00C70738">
        <w:rPr>
          <w:szCs w:val="24"/>
        </w:rPr>
        <w:t xml:space="preserve"> e </w:t>
      </w:r>
      <w:proofErr w:type="spellStart"/>
      <w:r w:rsidRPr="00C70738">
        <w:rPr>
          <w:szCs w:val="24"/>
        </w:rPr>
        <w:t>planejar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sua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atividade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com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atenção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aos</w:t>
      </w:r>
      <w:proofErr w:type="spellEnd"/>
      <w:r w:rsidRPr="00C70738">
        <w:rPr>
          <w:szCs w:val="24"/>
        </w:rPr>
        <w:t xml:space="preserve"> recursos e </w:t>
      </w:r>
      <w:proofErr w:type="spellStart"/>
      <w:r w:rsidRPr="00C70738">
        <w:rPr>
          <w:szCs w:val="24"/>
        </w:rPr>
        <w:t>condições</w:t>
      </w:r>
      <w:proofErr w:type="spellEnd"/>
      <w:r w:rsidRPr="00C70738">
        <w:rPr>
          <w:szCs w:val="24"/>
        </w:rPr>
        <w:t xml:space="preserve"> do </w:t>
      </w:r>
      <w:proofErr w:type="spellStart"/>
      <w:r w:rsidRPr="00C70738">
        <w:rPr>
          <w:szCs w:val="24"/>
        </w:rPr>
        <w:t>próprio</w:t>
      </w:r>
      <w:proofErr w:type="spellEnd"/>
      <w:r w:rsidRPr="00C70738">
        <w:rPr>
          <w:szCs w:val="24"/>
        </w:rPr>
        <w:t xml:space="preserve"> mercado (STC 225/1993, FJ. 3.B). </w:t>
      </w:r>
      <w:proofErr w:type="spellStart"/>
      <w:r w:rsidRPr="00C70738">
        <w:rPr>
          <w:szCs w:val="24"/>
        </w:rPr>
        <w:t>Nesse</w:t>
      </w:r>
      <w:proofErr w:type="spellEnd"/>
      <w:r w:rsidRPr="00C70738">
        <w:rPr>
          <w:szCs w:val="24"/>
        </w:rPr>
        <w:t xml:space="preserve"> sentido, cabe </w:t>
      </w:r>
      <w:proofErr w:type="spellStart"/>
      <w:r w:rsidRPr="00C70738">
        <w:rPr>
          <w:szCs w:val="24"/>
        </w:rPr>
        <w:t>deduzir</w:t>
      </w:r>
      <w:proofErr w:type="spellEnd"/>
      <w:r w:rsidRPr="00C70738">
        <w:rPr>
          <w:szCs w:val="24"/>
        </w:rPr>
        <w:t xml:space="preserve"> que a «</w:t>
      </w:r>
      <w:proofErr w:type="spellStart"/>
      <w:r w:rsidRPr="00C70738">
        <w:rPr>
          <w:szCs w:val="24"/>
        </w:rPr>
        <w:t>economia</w:t>
      </w:r>
      <w:proofErr w:type="spellEnd"/>
      <w:r w:rsidRPr="00C70738">
        <w:rPr>
          <w:szCs w:val="24"/>
        </w:rPr>
        <w:t xml:space="preserve"> de mercado» é o marco </w:t>
      </w:r>
      <w:proofErr w:type="spellStart"/>
      <w:r w:rsidRPr="00C70738">
        <w:rPr>
          <w:szCs w:val="24"/>
        </w:rPr>
        <w:t>onde</w:t>
      </w:r>
      <w:proofErr w:type="spellEnd"/>
      <w:r w:rsidRPr="00C70738">
        <w:rPr>
          <w:szCs w:val="24"/>
        </w:rPr>
        <w:t xml:space="preserve"> se </w:t>
      </w:r>
      <w:proofErr w:type="spellStart"/>
      <w:r w:rsidRPr="00C70738">
        <w:rPr>
          <w:szCs w:val="24"/>
        </w:rPr>
        <w:t>exerce</w:t>
      </w:r>
      <w:proofErr w:type="spellEnd"/>
      <w:r w:rsidRPr="00C70738">
        <w:rPr>
          <w:szCs w:val="24"/>
        </w:rPr>
        <w:t xml:space="preserve"> a </w:t>
      </w:r>
      <w:proofErr w:type="spellStart"/>
      <w:r w:rsidRPr="00C70738">
        <w:rPr>
          <w:szCs w:val="24"/>
        </w:rPr>
        <w:t>liberdade</w:t>
      </w:r>
      <w:proofErr w:type="spellEnd"/>
      <w:r w:rsidRPr="00C70738">
        <w:rPr>
          <w:szCs w:val="24"/>
        </w:rPr>
        <w:t xml:space="preserve"> de empresa. A </w:t>
      </w:r>
      <w:proofErr w:type="spellStart"/>
      <w:r w:rsidRPr="00C70738">
        <w:rPr>
          <w:szCs w:val="24"/>
        </w:rPr>
        <w:t>Sentença</w:t>
      </w:r>
      <w:proofErr w:type="spellEnd"/>
      <w:r w:rsidRPr="00C70738">
        <w:rPr>
          <w:szCs w:val="24"/>
        </w:rPr>
        <w:t xml:space="preserve"> do Tribunal Constitucional (STC 88/1986 de 1º de </w:t>
      </w:r>
      <w:proofErr w:type="spellStart"/>
      <w:r w:rsidRPr="00C70738">
        <w:rPr>
          <w:szCs w:val="24"/>
        </w:rPr>
        <w:t>julho</w:t>
      </w:r>
      <w:proofErr w:type="spellEnd"/>
      <w:r w:rsidRPr="00C70738">
        <w:rPr>
          <w:szCs w:val="24"/>
        </w:rPr>
        <w:t xml:space="preserve">), </w:t>
      </w:r>
      <w:proofErr w:type="spellStart"/>
      <w:r w:rsidRPr="00C70738">
        <w:rPr>
          <w:szCs w:val="24"/>
        </w:rPr>
        <w:t>reiterou</w:t>
      </w:r>
      <w:proofErr w:type="spellEnd"/>
      <w:r w:rsidRPr="00C70738">
        <w:rPr>
          <w:szCs w:val="24"/>
        </w:rPr>
        <w:t xml:space="preserve"> a </w:t>
      </w:r>
      <w:proofErr w:type="spellStart"/>
      <w:r w:rsidRPr="00C70738">
        <w:rPr>
          <w:szCs w:val="24"/>
        </w:rPr>
        <w:t>doutrina</w:t>
      </w:r>
      <w:proofErr w:type="spellEnd"/>
      <w:r w:rsidRPr="00C70738">
        <w:rPr>
          <w:szCs w:val="24"/>
        </w:rPr>
        <w:t xml:space="preserve"> anterior (Sentencia 71/1982), </w:t>
      </w:r>
      <w:proofErr w:type="spellStart"/>
      <w:r w:rsidRPr="00C70738">
        <w:rPr>
          <w:szCs w:val="24"/>
        </w:rPr>
        <w:t>onde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referia</w:t>
      </w:r>
      <w:proofErr w:type="spellEnd"/>
      <w:r w:rsidRPr="00C70738">
        <w:rPr>
          <w:szCs w:val="24"/>
        </w:rPr>
        <w:t xml:space="preserve"> o «</w:t>
      </w:r>
      <w:proofErr w:type="spellStart"/>
      <w:r w:rsidRPr="00C70738">
        <w:rPr>
          <w:szCs w:val="24"/>
        </w:rPr>
        <w:t>reconhecimento</w:t>
      </w:r>
      <w:proofErr w:type="spellEnd"/>
      <w:r w:rsidRPr="00C70738">
        <w:rPr>
          <w:szCs w:val="24"/>
        </w:rPr>
        <w:t xml:space="preserve"> da </w:t>
      </w:r>
      <w:proofErr w:type="spellStart"/>
      <w:r w:rsidRPr="00C70738">
        <w:rPr>
          <w:szCs w:val="24"/>
        </w:rPr>
        <w:t>economia</w:t>
      </w:r>
      <w:proofErr w:type="spellEnd"/>
      <w:r w:rsidRPr="00C70738">
        <w:rPr>
          <w:szCs w:val="24"/>
        </w:rPr>
        <w:t xml:space="preserve"> de mercado pela </w:t>
      </w:r>
      <w:proofErr w:type="spellStart"/>
      <w:r w:rsidRPr="00C70738">
        <w:rPr>
          <w:szCs w:val="24"/>
        </w:rPr>
        <w:t>Constituição</w:t>
      </w:r>
      <w:proofErr w:type="spellEnd"/>
      <w:r w:rsidRPr="00C70738">
        <w:rPr>
          <w:szCs w:val="24"/>
        </w:rPr>
        <w:t xml:space="preserve"> como </w:t>
      </w:r>
      <w:proofErr w:type="spellStart"/>
      <w:r w:rsidRPr="00C70738">
        <w:rPr>
          <w:szCs w:val="24"/>
        </w:rPr>
        <w:t>quadro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obrigatório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ao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exercício</w:t>
      </w:r>
      <w:proofErr w:type="spellEnd"/>
      <w:r w:rsidRPr="00C70738">
        <w:rPr>
          <w:szCs w:val="24"/>
        </w:rPr>
        <w:t xml:space="preserve"> da </w:t>
      </w:r>
      <w:proofErr w:type="spellStart"/>
      <w:r w:rsidRPr="00C70738">
        <w:rPr>
          <w:szCs w:val="24"/>
        </w:rPr>
        <w:t>liberdade</w:t>
      </w:r>
      <w:proofErr w:type="spellEnd"/>
      <w:r w:rsidRPr="00C70738">
        <w:rPr>
          <w:szCs w:val="24"/>
        </w:rPr>
        <w:t xml:space="preserve"> de empresa e, o </w:t>
      </w:r>
      <w:proofErr w:type="spellStart"/>
      <w:r w:rsidRPr="00C70738">
        <w:rPr>
          <w:szCs w:val="24"/>
        </w:rPr>
        <w:t>compromisso</w:t>
      </w:r>
      <w:proofErr w:type="spellEnd"/>
      <w:r w:rsidRPr="00C70738">
        <w:rPr>
          <w:szCs w:val="24"/>
        </w:rPr>
        <w:t xml:space="preserve"> de proteger o </w:t>
      </w:r>
      <w:proofErr w:type="spellStart"/>
      <w:r w:rsidRPr="00C70738">
        <w:rPr>
          <w:szCs w:val="24"/>
        </w:rPr>
        <w:t>exercício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desta</w:t>
      </w:r>
      <w:proofErr w:type="spellEnd"/>
      <w:r w:rsidRPr="00C70738">
        <w:rPr>
          <w:szCs w:val="24"/>
        </w:rPr>
        <w:t xml:space="preserve"> por parte dos poderes públicos </w:t>
      </w:r>
      <w:proofErr w:type="spellStart"/>
      <w:r w:rsidRPr="00C70738">
        <w:rPr>
          <w:szCs w:val="24"/>
        </w:rPr>
        <w:t>supõe</w:t>
      </w:r>
      <w:proofErr w:type="spellEnd"/>
      <w:r w:rsidRPr="00C70738">
        <w:rPr>
          <w:szCs w:val="24"/>
        </w:rPr>
        <w:t xml:space="preserve"> a </w:t>
      </w:r>
      <w:proofErr w:type="spellStart"/>
      <w:r w:rsidRPr="00C70738">
        <w:rPr>
          <w:szCs w:val="24"/>
        </w:rPr>
        <w:t>necessidade</w:t>
      </w:r>
      <w:proofErr w:type="spellEnd"/>
      <w:r w:rsidRPr="00C70738">
        <w:rPr>
          <w:szCs w:val="24"/>
        </w:rPr>
        <w:t xml:space="preserve"> de </w:t>
      </w:r>
      <w:proofErr w:type="spellStart"/>
      <w:r w:rsidRPr="00C70738">
        <w:rPr>
          <w:szCs w:val="24"/>
        </w:rPr>
        <w:t>uma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atuação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especificamente</w:t>
      </w:r>
      <w:proofErr w:type="spellEnd"/>
      <w:r w:rsidRPr="00C70738">
        <w:rPr>
          <w:szCs w:val="24"/>
        </w:rPr>
        <w:t xml:space="preserve"> </w:t>
      </w:r>
      <w:proofErr w:type="spellStart"/>
      <w:r w:rsidRPr="00C70738">
        <w:rPr>
          <w:szCs w:val="24"/>
        </w:rPr>
        <w:t>direcionada</w:t>
      </w:r>
      <w:proofErr w:type="spellEnd"/>
      <w:r w:rsidRPr="00C70738">
        <w:rPr>
          <w:szCs w:val="24"/>
        </w:rPr>
        <w:t xml:space="preserve"> a defender </w:t>
      </w:r>
      <w:proofErr w:type="spellStart"/>
      <w:r w:rsidRPr="00C70738">
        <w:rPr>
          <w:szCs w:val="24"/>
        </w:rPr>
        <w:t>tais</w:t>
      </w:r>
      <w:proofErr w:type="spellEnd"/>
      <w:r w:rsidRPr="00C70738">
        <w:rPr>
          <w:szCs w:val="24"/>
        </w:rPr>
        <w:t xml:space="preserve"> objetivos </w:t>
      </w:r>
      <w:proofErr w:type="spellStart"/>
      <w:r w:rsidRPr="00C70738">
        <w:rPr>
          <w:szCs w:val="24"/>
        </w:rPr>
        <w:t>constitucionais</w:t>
      </w:r>
      <w:proofErr w:type="spellEnd"/>
      <w:r w:rsidRPr="00C70738">
        <w:rPr>
          <w:szCs w:val="24"/>
        </w:rPr>
        <w:t>».</w:t>
      </w:r>
    </w:p>
    <w:p w14:paraId="6E619775" w14:textId="77777777" w:rsidR="000711AD" w:rsidRPr="00C70738" w:rsidRDefault="000711AD" w:rsidP="00C70738">
      <w:pPr>
        <w:pStyle w:val="RLDETesto"/>
        <w:spacing w:line="276" w:lineRule="auto"/>
        <w:ind w:firstLine="709"/>
        <w:rPr>
          <w:szCs w:val="24"/>
          <w:lang w:val="es-ES_tradnl"/>
        </w:rPr>
      </w:pPr>
    </w:p>
    <w:p w14:paraId="30FC5F10" w14:textId="77777777" w:rsidR="000711AD" w:rsidRPr="00C70738" w:rsidRDefault="000711AD" w:rsidP="000711AD">
      <w:pPr>
        <w:pStyle w:val="RLDETabellatitolo"/>
        <w:rPr>
          <w:rFonts w:ascii="Garamond" w:hAnsi="Garamond"/>
          <w:sz w:val="24"/>
          <w:szCs w:val="24"/>
        </w:rPr>
      </w:pPr>
      <w:proofErr w:type="spellStart"/>
      <w:r w:rsidRPr="00C70738">
        <w:rPr>
          <w:rFonts w:ascii="Garamond" w:hAnsi="Garamond"/>
          <w:b/>
          <w:bCs/>
          <w:sz w:val="24"/>
          <w:szCs w:val="24"/>
        </w:rPr>
        <w:t>Quadro</w:t>
      </w:r>
      <w:proofErr w:type="spellEnd"/>
      <w:r w:rsidRPr="00C70738">
        <w:rPr>
          <w:rFonts w:ascii="Garamond" w:hAnsi="Garamond"/>
          <w:b/>
          <w:bCs/>
          <w:sz w:val="24"/>
          <w:szCs w:val="24"/>
        </w:rPr>
        <w:t xml:space="preserve"> 1</w:t>
      </w:r>
      <w:r w:rsidRPr="00C70738">
        <w:rPr>
          <w:rFonts w:ascii="Garamond" w:hAnsi="Garamond"/>
          <w:sz w:val="24"/>
          <w:szCs w:val="24"/>
        </w:rPr>
        <w:t xml:space="preserve"> – </w:t>
      </w:r>
      <w:proofErr w:type="spellStart"/>
      <w:r w:rsidRPr="00C70738">
        <w:rPr>
          <w:rFonts w:ascii="Garamond" w:hAnsi="Garamond"/>
          <w:sz w:val="24"/>
          <w:szCs w:val="24"/>
        </w:rPr>
        <w:t>Xxxxxxxxxxxxxxxxxxxxxxxxxx</w:t>
      </w:r>
      <w:proofErr w:type="spellEnd"/>
    </w:p>
    <w:p w14:paraId="5CD7B084" w14:textId="77777777" w:rsidR="000711AD" w:rsidRPr="00C70738" w:rsidRDefault="000711AD" w:rsidP="000711AD">
      <w:pPr>
        <w:keepNext/>
        <w:spacing w:line="240" w:lineRule="auto"/>
        <w:rPr>
          <w:rFonts w:ascii="Garamond" w:hAnsi="Garamond"/>
        </w:rPr>
      </w:pPr>
    </w:p>
    <w:tbl>
      <w:tblPr>
        <w:tblStyle w:val="Tabelacomgrade"/>
        <w:tblW w:w="69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28"/>
        <w:gridCol w:w="1729"/>
        <w:gridCol w:w="1730"/>
        <w:gridCol w:w="1730"/>
      </w:tblGrid>
      <w:tr w:rsidR="000711AD" w:rsidRPr="00C70738" w14:paraId="07E48E41" w14:textId="77777777" w:rsidTr="003329FC">
        <w:trPr>
          <w:jc w:val="center"/>
        </w:trPr>
        <w:tc>
          <w:tcPr>
            <w:tcW w:w="1728" w:type="dxa"/>
          </w:tcPr>
          <w:p w14:paraId="599BB1A3" w14:textId="77777777" w:rsidR="000711AD" w:rsidRPr="00C70738" w:rsidRDefault="000711AD" w:rsidP="003329FC">
            <w:pPr>
              <w:pStyle w:val="RLDETesto"/>
              <w:keepNext/>
              <w:widowControl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70738">
              <w:rPr>
                <w:b/>
                <w:bCs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29" w:type="dxa"/>
          </w:tcPr>
          <w:p w14:paraId="44FA9374" w14:textId="77777777" w:rsidR="000711AD" w:rsidRPr="00C70738" w:rsidRDefault="000711AD" w:rsidP="003329FC">
            <w:pPr>
              <w:pStyle w:val="RLDETes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70738">
              <w:rPr>
                <w:b/>
                <w:bCs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30" w:type="dxa"/>
          </w:tcPr>
          <w:p w14:paraId="5BF7AFCA" w14:textId="77777777" w:rsidR="000711AD" w:rsidRPr="00C70738" w:rsidRDefault="000711AD" w:rsidP="003329FC">
            <w:pPr>
              <w:pStyle w:val="RLDETes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70738">
              <w:rPr>
                <w:b/>
                <w:bCs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30" w:type="dxa"/>
          </w:tcPr>
          <w:p w14:paraId="481FD2BE" w14:textId="77777777" w:rsidR="000711AD" w:rsidRPr="00C70738" w:rsidRDefault="000711AD" w:rsidP="003329FC">
            <w:pPr>
              <w:pStyle w:val="RLDETes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70738">
              <w:rPr>
                <w:b/>
                <w:bCs/>
                <w:sz w:val="24"/>
                <w:szCs w:val="24"/>
              </w:rPr>
              <w:t>Xxxxxx</w:t>
            </w:r>
            <w:proofErr w:type="spellEnd"/>
          </w:p>
        </w:tc>
      </w:tr>
      <w:tr w:rsidR="000711AD" w:rsidRPr="00C70738" w14:paraId="248482D9" w14:textId="77777777" w:rsidTr="003329FC">
        <w:trPr>
          <w:jc w:val="center"/>
        </w:trPr>
        <w:tc>
          <w:tcPr>
            <w:tcW w:w="1728" w:type="dxa"/>
          </w:tcPr>
          <w:p w14:paraId="6632152C" w14:textId="77777777" w:rsidR="000711AD" w:rsidRPr="00C70738" w:rsidRDefault="000711AD" w:rsidP="003329FC">
            <w:pPr>
              <w:pStyle w:val="RLDETabellates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70738">
              <w:rPr>
                <w:rFonts w:ascii="Garamond" w:hAnsi="Garamond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29" w:type="dxa"/>
          </w:tcPr>
          <w:p w14:paraId="2A6336B7" w14:textId="77777777" w:rsidR="000711AD" w:rsidRPr="00C70738" w:rsidRDefault="000711AD" w:rsidP="003329FC">
            <w:pPr>
              <w:pStyle w:val="RLDETesto"/>
              <w:jc w:val="both"/>
              <w:rPr>
                <w:sz w:val="24"/>
                <w:szCs w:val="24"/>
              </w:rPr>
            </w:pPr>
            <w:proofErr w:type="spellStart"/>
            <w:r w:rsidRPr="00C70738"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30" w:type="dxa"/>
          </w:tcPr>
          <w:p w14:paraId="3B36DC61" w14:textId="77777777" w:rsidR="000711AD" w:rsidRPr="00C70738" w:rsidRDefault="000711AD" w:rsidP="003329FC">
            <w:pPr>
              <w:pStyle w:val="RLDETesto"/>
              <w:jc w:val="both"/>
              <w:rPr>
                <w:sz w:val="24"/>
                <w:szCs w:val="24"/>
              </w:rPr>
            </w:pPr>
            <w:proofErr w:type="spellStart"/>
            <w:r w:rsidRPr="00C70738"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30" w:type="dxa"/>
          </w:tcPr>
          <w:p w14:paraId="42B13D2B" w14:textId="77777777" w:rsidR="000711AD" w:rsidRPr="00C70738" w:rsidRDefault="000711AD" w:rsidP="003329FC">
            <w:pPr>
              <w:pStyle w:val="RLDETesto"/>
              <w:jc w:val="both"/>
              <w:rPr>
                <w:sz w:val="24"/>
                <w:szCs w:val="24"/>
              </w:rPr>
            </w:pPr>
            <w:proofErr w:type="spellStart"/>
            <w:r w:rsidRPr="00C70738">
              <w:rPr>
                <w:sz w:val="24"/>
                <w:szCs w:val="24"/>
              </w:rPr>
              <w:t>Xxxxxx</w:t>
            </w:r>
            <w:proofErr w:type="spellEnd"/>
          </w:p>
        </w:tc>
      </w:tr>
      <w:tr w:rsidR="000711AD" w:rsidRPr="00C70738" w14:paraId="5C689C48" w14:textId="77777777" w:rsidTr="003329FC">
        <w:trPr>
          <w:jc w:val="center"/>
        </w:trPr>
        <w:tc>
          <w:tcPr>
            <w:tcW w:w="1728" w:type="dxa"/>
          </w:tcPr>
          <w:p w14:paraId="0A9C8BB6" w14:textId="77777777" w:rsidR="000711AD" w:rsidRPr="00C70738" w:rsidRDefault="000711AD" w:rsidP="003329FC">
            <w:pPr>
              <w:pStyle w:val="RLDETesto"/>
              <w:jc w:val="both"/>
              <w:rPr>
                <w:sz w:val="24"/>
                <w:szCs w:val="24"/>
              </w:rPr>
            </w:pPr>
            <w:proofErr w:type="spellStart"/>
            <w:r w:rsidRPr="00C70738"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29" w:type="dxa"/>
          </w:tcPr>
          <w:p w14:paraId="32A88688" w14:textId="77777777" w:rsidR="000711AD" w:rsidRPr="00C70738" w:rsidRDefault="000711AD" w:rsidP="003329FC">
            <w:pPr>
              <w:pStyle w:val="RLDETabellates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70738">
              <w:rPr>
                <w:rFonts w:ascii="Garamond" w:hAnsi="Garamond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30" w:type="dxa"/>
          </w:tcPr>
          <w:p w14:paraId="063DD8D7" w14:textId="77777777" w:rsidR="000711AD" w:rsidRPr="00C70738" w:rsidRDefault="000711AD" w:rsidP="003329FC">
            <w:pPr>
              <w:pStyle w:val="RLDETesto"/>
              <w:jc w:val="both"/>
              <w:rPr>
                <w:sz w:val="24"/>
                <w:szCs w:val="24"/>
              </w:rPr>
            </w:pPr>
            <w:proofErr w:type="spellStart"/>
            <w:r w:rsidRPr="00C70738"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30" w:type="dxa"/>
          </w:tcPr>
          <w:p w14:paraId="0DB463E2" w14:textId="77777777" w:rsidR="000711AD" w:rsidRPr="00C70738" w:rsidRDefault="000711AD" w:rsidP="003329FC">
            <w:pPr>
              <w:pStyle w:val="RLDETesto"/>
              <w:jc w:val="both"/>
              <w:rPr>
                <w:sz w:val="24"/>
                <w:szCs w:val="24"/>
              </w:rPr>
            </w:pPr>
            <w:proofErr w:type="spellStart"/>
            <w:r w:rsidRPr="00C70738">
              <w:rPr>
                <w:sz w:val="24"/>
                <w:szCs w:val="24"/>
              </w:rPr>
              <w:t>Xxxxxx</w:t>
            </w:r>
            <w:proofErr w:type="spellEnd"/>
          </w:p>
        </w:tc>
      </w:tr>
      <w:tr w:rsidR="000711AD" w:rsidRPr="00C70738" w14:paraId="7815D269" w14:textId="77777777" w:rsidTr="003329FC">
        <w:trPr>
          <w:jc w:val="center"/>
        </w:trPr>
        <w:tc>
          <w:tcPr>
            <w:tcW w:w="1728" w:type="dxa"/>
          </w:tcPr>
          <w:p w14:paraId="3440656D" w14:textId="77777777" w:rsidR="000711AD" w:rsidRPr="00C70738" w:rsidRDefault="000711AD" w:rsidP="003329FC">
            <w:pPr>
              <w:pStyle w:val="RLDETesto"/>
              <w:jc w:val="both"/>
              <w:rPr>
                <w:sz w:val="24"/>
                <w:szCs w:val="24"/>
              </w:rPr>
            </w:pPr>
            <w:proofErr w:type="spellStart"/>
            <w:r w:rsidRPr="00C70738"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29" w:type="dxa"/>
          </w:tcPr>
          <w:p w14:paraId="257FD653" w14:textId="77777777" w:rsidR="000711AD" w:rsidRPr="00C70738" w:rsidRDefault="000711AD" w:rsidP="003329FC">
            <w:pPr>
              <w:pStyle w:val="RLDETabellates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70738">
              <w:rPr>
                <w:rFonts w:ascii="Garamond" w:hAnsi="Garamond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30" w:type="dxa"/>
          </w:tcPr>
          <w:p w14:paraId="344DEBD2" w14:textId="77777777" w:rsidR="000711AD" w:rsidRPr="00C70738" w:rsidRDefault="000711AD" w:rsidP="003329FC">
            <w:pPr>
              <w:pStyle w:val="RLDETesto"/>
              <w:jc w:val="both"/>
              <w:rPr>
                <w:sz w:val="24"/>
                <w:szCs w:val="24"/>
              </w:rPr>
            </w:pPr>
            <w:proofErr w:type="spellStart"/>
            <w:r w:rsidRPr="00C70738"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30" w:type="dxa"/>
          </w:tcPr>
          <w:p w14:paraId="2C5C9D93" w14:textId="77777777" w:rsidR="000711AD" w:rsidRPr="00C70738" w:rsidRDefault="000711AD" w:rsidP="003329FC">
            <w:pPr>
              <w:pStyle w:val="RLDETesto"/>
              <w:jc w:val="both"/>
              <w:rPr>
                <w:sz w:val="24"/>
                <w:szCs w:val="24"/>
              </w:rPr>
            </w:pPr>
            <w:proofErr w:type="spellStart"/>
            <w:r w:rsidRPr="00C70738">
              <w:rPr>
                <w:sz w:val="24"/>
                <w:szCs w:val="24"/>
              </w:rPr>
              <w:t>Xxxxxx</w:t>
            </w:r>
            <w:proofErr w:type="spellEnd"/>
          </w:p>
        </w:tc>
      </w:tr>
    </w:tbl>
    <w:p w14:paraId="78360751" w14:textId="77777777" w:rsidR="000711AD" w:rsidRPr="00C70738" w:rsidRDefault="000711AD" w:rsidP="000711AD">
      <w:pPr>
        <w:keepNext/>
        <w:spacing w:line="240" w:lineRule="auto"/>
        <w:rPr>
          <w:rFonts w:ascii="Garamond" w:hAnsi="Garamond"/>
        </w:rPr>
      </w:pPr>
    </w:p>
    <w:p w14:paraId="4BC3B452" w14:textId="77777777" w:rsidR="000711AD" w:rsidRPr="00C70738" w:rsidRDefault="000711AD" w:rsidP="000711AD">
      <w:pPr>
        <w:pStyle w:val="RLDETabellafonte"/>
        <w:rPr>
          <w:rFonts w:ascii="Garamond" w:hAnsi="Garamond"/>
          <w:sz w:val="24"/>
          <w:szCs w:val="24"/>
        </w:rPr>
      </w:pPr>
      <w:proofErr w:type="spellStart"/>
      <w:r w:rsidRPr="00C70738">
        <w:rPr>
          <w:rFonts w:ascii="Garamond" w:hAnsi="Garamond"/>
          <w:b/>
          <w:bCs/>
          <w:sz w:val="24"/>
          <w:szCs w:val="24"/>
        </w:rPr>
        <w:t>Fonte</w:t>
      </w:r>
      <w:proofErr w:type="spellEnd"/>
      <w:r w:rsidRPr="00C70738">
        <w:rPr>
          <w:rFonts w:ascii="Garamond" w:hAnsi="Garamond"/>
          <w:b/>
          <w:bCs/>
          <w:sz w:val="24"/>
          <w:szCs w:val="24"/>
        </w:rPr>
        <w:t>:</w:t>
      </w:r>
      <w:r w:rsidRPr="00C70738">
        <w:rPr>
          <w:rFonts w:ascii="Garamond" w:hAnsi="Garamond"/>
          <w:sz w:val="24"/>
          <w:szCs w:val="24"/>
        </w:rPr>
        <w:t xml:space="preserve"> </w:t>
      </w:r>
      <w:proofErr w:type="spellStart"/>
      <w:r w:rsidRPr="00C70738">
        <w:rPr>
          <w:rFonts w:ascii="Garamond" w:hAnsi="Garamond"/>
          <w:sz w:val="24"/>
          <w:szCs w:val="24"/>
        </w:rPr>
        <w:t>Xxxxxxxxxxxxxxxxxxxxxxxxxx</w:t>
      </w:r>
      <w:proofErr w:type="spellEnd"/>
    </w:p>
    <w:p w14:paraId="2DE99E68" w14:textId="77777777" w:rsidR="000711AD" w:rsidRPr="00C70738" w:rsidRDefault="000711AD" w:rsidP="000711AD">
      <w:pPr>
        <w:pStyle w:val="RLDETesto"/>
        <w:rPr>
          <w:szCs w:val="24"/>
          <w:lang w:val="es-ES_tradnl"/>
        </w:rPr>
      </w:pPr>
    </w:p>
    <w:p w14:paraId="766ED5D8" w14:textId="77777777" w:rsidR="000711AD" w:rsidRPr="00C70738" w:rsidRDefault="000711AD" w:rsidP="00E074C4">
      <w:pPr>
        <w:ind w:firstLine="0"/>
        <w:rPr>
          <w:rFonts w:ascii="Garamond" w:hAnsi="Garamond"/>
        </w:rPr>
      </w:pPr>
    </w:p>
    <w:p w14:paraId="150EA60C" w14:textId="167F3575" w:rsidR="00FB36DD" w:rsidRDefault="00FB36DD" w:rsidP="00E074C4">
      <w:pPr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>(.....)</w:t>
      </w:r>
    </w:p>
    <w:p w14:paraId="6E04E775" w14:textId="77777777" w:rsidR="00FB36DD" w:rsidRPr="00C70738" w:rsidRDefault="00FB36DD" w:rsidP="00E074C4">
      <w:pPr>
        <w:ind w:firstLine="0"/>
        <w:rPr>
          <w:rFonts w:ascii="Garamond" w:hAnsi="Garamond"/>
        </w:rPr>
      </w:pPr>
    </w:p>
    <w:p w14:paraId="4D30702F" w14:textId="77777777" w:rsidR="00103C5A" w:rsidRPr="00C70738" w:rsidRDefault="000711AD">
      <w:pPr>
        <w:ind w:firstLine="0"/>
        <w:rPr>
          <w:rFonts w:ascii="Garamond" w:hAnsi="Garamond"/>
          <w:b/>
        </w:rPr>
      </w:pPr>
      <w:r w:rsidRPr="00C70738">
        <w:rPr>
          <w:rFonts w:ascii="Garamond" w:hAnsi="Garamond"/>
          <w:b/>
        </w:rPr>
        <w:t>Bibliografia</w:t>
      </w:r>
    </w:p>
    <w:p w14:paraId="564C9E81" w14:textId="77777777" w:rsidR="00EF5716" w:rsidRPr="00C70738" w:rsidRDefault="00EF5716">
      <w:pPr>
        <w:spacing w:line="240" w:lineRule="auto"/>
        <w:ind w:firstLine="0"/>
        <w:jc w:val="left"/>
        <w:rPr>
          <w:rFonts w:ascii="Garamond" w:hAnsi="Garamond"/>
        </w:rPr>
      </w:pPr>
    </w:p>
    <w:p w14:paraId="54699620" w14:textId="77777777" w:rsidR="00EF5716" w:rsidRPr="00C70738" w:rsidRDefault="00EF5716" w:rsidP="002C784B">
      <w:pPr>
        <w:spacing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 xml:space="preserve">AMORIM, João Pacheco de. A Constituição Económica Portuguesa Enquadramento dogmático e princípios fundamentais. </w:t>
      </w:r>
      <w:r w:rsidRPr="00C70738">
        <w:rPr>
          <w:rFonts w:ascii="Garamond" w:hAnsi="Garamond"/>
          <w:i/>
          <w:iCs/>
        </w:rPr>
        <w:t>Revista da Faculdade de Direito da Universidade do Porto</w:t>
      </w:r>
      <w:r w:rsidRPr="00C70738">
        <w:rPr>
          <w:rFonts w:ascii="Garamond" w:hAnsi="Garamond"/>
        </w:rPr>
        <w:t>, Coimbra, a.8, p.31-106, 2011.</w:t>
      </w:r>
    </w:p>
    <w:p w14:paraId="71B12C9A" w14:textId="77777777" w:rsidR="00EF5716" w:rsidRPr="00C70738" w:rsidRDefault="00EF5716" w:rsidP="002C784B">
      <w:pPr>
        <w:spacing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 xml:space="preserve">APRIGLIANO, Ricardo de Carvalho. </w:t>
      </w:r>
      <w:r w:rsidRPr="00C70738">
        <w:rPr>
          <w:rFonts w:ascii="Garamond" w:hAnsi="Garamond"/>
          <w:i/>
          <w:iCs/>
        </w:rPr>
        <w:t>Ordem Pública e Processo</w:t>
      </w:r>
      <w:r w:rsidRPr="00C70738">
        <w:rPr>
          <w:rFonts w:ascii="Garamond" w:hAnsi="Garamond"/>
        </w:rPr>
        <w:t>. São Paulo: Editora Atlas, 2011.</w:t>
      </w:r>
    </w:p>
    <w:p w14:paraId="35090E20" w14:textId="77777777" w:rsidR="00EF5716" w:rsidRPr="00C70738" w:rsidRDefault="00EF5716" w:rsidP="002C784B">
      <w:pPr>
        <w:spacing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 xml:space="preserve">CARMONA, Carlos Alberto. </w:t>
      </w:r>
      <w:r w:rsidRPr="00C70738">
        <w:rPr>
          <w:rFonts w:ascii="Garamond" w:hAnsi="Garamond"/>
          <w:i/>
          <w:iCs/>
        </w:rPr>
        <w:t>Arbitragem e Processo</w:t>
      </w:r>
      <w:r w:rsidRPr="00C70738">
        <w:rPr>
          <w:rFonts w:ascii="Garamond" w:hAnsi="Garamond"/>
        </w:rPr>
        <w:t>: um comentário à Lei 9.307/96. São Paulo: Editora Atlas, 2011.</w:t>
      </w:r>
    </w:p>
    <w:p w14:paraId="376FB6F8" w14:textId="77777777" w:rsidR="00B44DE3" w:rsidRPr="00C70738" w:rsidRDefault="00B44DE3" w:rsidP="002C784B">
      <w:pPr>
        <w:spacing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 xml:space="preserve">DÍEZ-PICAZO Y PONCE DE LEÓN, </w:t>
      </w:r>
      <w:proofErr w:type="spellStart"/>
      <w:r w:rsidRPr="00C70738">
        <w:rPr>
          <w:rFonts w:ascii="Garamond" w:hAnsi="Garamond"/>
        </w:rPr>
        <w:t>Luis</w:t>
      </w:r>
      <w:proofErr w:type="spellEnd"/>
      <w:r w:rsidRPr="00C70738">
        <w:rPr>
          <w:rFonts w:ascii="Garamond" w:hAnsi="Garamond"/>
          <w:lang w:val="pt-PT"/>
        </w:rPr>
        <w:t xml:space="preserve">. </w:t>
      </w:r>
      <w:r w:rsidRPr="00C70738">
        <w:rPr>
          <w:rFonts w:ascii="Garamond" w:hAnsi="Garamond"/>
          <w:i/>
          <w:iCs/>
          <w:lang w:val="pt-PT"/>
        </w:rPr>
        <w:t xml:space="preserve">Fundamentos </w:t>
      </w:r>
      <w:proofErr w:type="spellStart"/>
      <w:r w:rsidRPr="00C70738">
        <w:rPr>
          <w:rFonts w:ascii="Garamond" w:hAnsi="Garamond"/>
          <w:i/>
          <w:iCs/>
          <w:lang w:val="pt-PT"/>
        </w:rPr>
        <w:t>delDerecho</w:t>
      </w:r>
      <w:proofErr w:type="spellEnd"/>
      <w:r w:rsidRPr="00C70738">
        <w:rPr>
          <w:rFonts w:ascii="Garamond" w:hAnsi="Garamond"/>
          <w:i/>
          <w:iCs/>
          <w:lang w:val="pt-PT"/>
        </w:rPr>
        <w:t xml:space="preserve"> Civil patrimonial</w:t>
      </w:r>
      <w:r w:rsidRPr="00C70738">
        <w:rPr>
          <w:rFonts w:ascii="Garamond" w:hAnsi="Garamond"/>
          <w:lang w:val="pt-PT"/>
        </w:rPr>
        <w:t xml:space="preserve">, vol. I, Ed. </w:t>
      </w:r>
      <w:proofErr w:type="spellStart"/>
      <w:r w:rsidRPr="00C70738">
        <w:rPr>
          <w:rFonts w:ascii="Garamond" w:hAnsi="Garamond"/>
          <w:lang w:val="pt-PT"/>
        </w:rPr>
        <w:t>Aranzadi</w:t>
      </w:r>
      <w:proofErr w:type="spellEnd"/>
      <w:r w:rsidRPr="00C70738">
        <w:rPr>
          <w:rFonts w:ascii="Garamond" w:hAnsi="Garamond"/>
          <w:lang w:val="pt-PT"/>
        </w:rPr>
        <w:t xml:space="preserve">, 6ª </w:t>
      </w:r>
      <w:proofErr w:type="spellStart"/>
      <w:r w:rsidRPr="00C70738">
        <w:rPr>
          <w:rFonts w:ascii="Garamond" w:hAnsi="Garamond"/>
          <w:lang w:val="pt-PT"/>
        </w:rPr>
        <w:t>edici</w:t>
      </w:r>
      <w:r w:rsidR="00FB36DD" w:rsidRPr="00C70738">
        <w:rPr>
          <w:rFonts w:ascii="Garamond" w:hAnsi="Garamond"/>
          <w:lang w:val="pt-PT"/>
        </w:rPr>
        <w:t>ó</w:t>
      </w:r>
      <w:r w:rsidRPr="00C70738">
        <w:rPr>
          <w:rFonts w:ascii="Garamond" w:hAnsi="Garamond"/>
          <w:lang w:val="pt-PT"/>
        </w:rPr>
        <w:t>n</w:t>
      </w:r>
      <w:proofErr w:type="spellEnd"/>
      <w:r w:rsidRPr="00C70738">
        <w:rPr>
          <w:rFonts w:ascii="Garamond" w:hAnsi="Garamond"/>
          <w:lang w:val="pt-PT"/>
        </w:rPr>
        <w:t>, Navarra, 2007.</w:t>
      </w:r>
    </w:p>
    <w:p w14:paraId="53CB1DA9" w14:textId="77777777" w:rsidR="00103C5A" w:rsidRPr="00C70738" w:rsidRDefault="00981449" w:rsidP="002C784B">
      <w:pPr>
        <w:spacing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 xml:space="preserve">FORGIONI, Paula A. </w:t>
      </w:r>
      <w:r w:rsidRPr="00C70738">
        <w:rPr>
          <w:rFonts w:ascii="Garamond" w:hAnsi="Garamond"/>
          <w:bCs/>
          <w:i/>
          <w:iCs/>
        </w:rPr>
        <w:t xml:space="preserve">Contratos empresariais: teoria geral e aplicação. </w:t>
      </w:r>
      <w:r w:rsidRPr="00C70738">
        <w:rPr>
          <w:rFonts w:ascii="Garamond" w:hAnsi="Garamond"/>
        </w:rPr>
        <w:t xml:space="preserve">3. ed. São Paulo: Revista dos Tribunais, 2018. </w:t>
      </w:r>
    </w:p>
    <w:p w14:paraId="323DC6DE" w14:textId="77777777" w:rsidR="00EF5716" w:rsidRPr="00C70738" w:rsidRDefault="002C784B" w:rsidP="002C784B">
      <w:pPr>
        <w:spacing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lastRenderedPageBreak/>
        <w:t xml:space="preserve">GOMES, Orlando. </w:t>
      </w:r>
      <w:r w:rsidRPr="00C70738">
        <w:rPr>
          <w:rFonts w:ascii="Garamond" w:hAnsi="Garamond"/>
          <w:i/>
          <w:iCs/>
        </w:rPr>
        <w:t>Contratos.</w:t>
      </w:r>
      <w:r w:rsidRPr="00C70738">
        <w:rPr>
          <w:rFonts w:ascii="Garamond" w:hAnsi="Garamond"/>
        </w:rPr>
        <w:t xml:space="preserve"> 26ª ed. Rio de Janeiro: Editora Forense, 2008.</w:t>
      </w:r>
    </w:p>
    <w:p w14:paraId="070310C3" w14:textId="77777777" w:rsidR="00103C5A" w:rsidRPr="00C70738" w:rsidRDefault="00EF5716" w:rsidP="002C784B">
      <w:pPr>
        <w:spacing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 xml:space="preserve">GRAU, Eros Roberto. </w:t>
      </w:r>
      <w:r w:rsidRPr="00C70738">
        <w:rPr>
          <w:rFonts w:ascii="Garamond" w:hAnsi="Garamond"/>
          <w:i/>
          <w:iCs/>
        </w:rPr>
        <w:t>A ordem econômica na Constituição de 1988</w:t>
      </w:r>
      <w:r w:rsidRPr="00C70738">
        <w:rPr>
          <w:rFonts w:ascii="Garamond" w:hAnsi="Garamond"/>
        </w:rPr>
        <w:t>. 14ª ed. São Paulo: Malheiros Editores, 2010.</w:t>
      </w:r>
    </w:p>
    <w:p w14:paraId="1BA6C1B7" w14:textId="77777777" w:rsidR="005E3932" w:rsidRPr="00C70738" w:rsidRDefault="005E3932" w:rsidP="005E3932">
      <w:pPr>
        <w:spacing w:before="120"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 xml:space="preserve">GUTINIEKI, João Otávio </w:t>
      </w:r>
      <w:proofErr w:type="spellStart"/>
      <w:r w:rsidRPr="00C70738">
        <w:rPr>
          <w:rFonts w:ascii="Garamond" w:hAnsi="Garamond"/>
        </w:rPr>
        <w:t>Bacchi</w:t>
      </w:r>
      <w:proofErr w:type="spellEnd"/>
      <w:r w:rsidRPr="00C70738">
        <w:rPr>
          <w:rFonts w:ascii="Garamond" w:hAnsi="Garamond"/>
        </w:rPr>
        <w:t xml:space="preserve">; VEIGA, Fábio da Silva. Contextualização do direito concorrencial brasileiro, in: </w:t>
      </w:r>
      <w:proofErr w:type="spellStart"/>
      <w:r w:rsidRPr="00C70738">
        <w:rPr>
          <w:rFonts w:ascii="Garamond" w:hAnsi="Garamond"/>
          <w:i/>
          <w:iCs/>
        </w:rPr>
        <w:t>Estudios</w:t>
      </w:r>
      <w:proofErr w:type="spellEnd"/>
      <w:r w:rsidRPr="00C70738">
        <w:rPr>
          <w:rFonts w:ascii="Garamond" w:hAnsi="Garamond"/>
          <w:i/>
          <w:iCs/>
        </w:rPr>
        <w:t xml:space="preserve"> de </w:t>
      </w:r>
      <w:proofErr w:type="spellStart"/>
      <w:r w:rsidRPr="00C70738">
        <w:rPr>
          <w:rFonts w:ascii="Garamond" w:hAnsi="Garamond"/>
          <w:i/>
          <w:iCs/>
        </w:rPr>
        <w:t>DerechoIberoamericano</w:t>
      </w:r>
      <w:proofErr w:type="spellEnd"/>
      <w:r w:rsidRPr="00C70738">
        <w:rPr>
          <w:rFonts w:ascii="Garamond" w:hAnsi="Garamond"/>
        </w:rPr>
        <w:t xml:space="preserve">, vol. 1, Madrid: </w:t>
      </w:r>
      <w:proofErr w:type="spellStart"/>
      <w:r w:rsidRPr="00C70738">
        <w:rPr>
          <w:rFonts w:ascii="Garamond" w:hAnsi="Garamond"/>
        </w:rPr>
        <w:t>Dykinson</w:t>
      </w:r>
      <w:proofErr w:type="spellEnd"/>
      <w:r w:rsidRPr="00C70738">
        <w:rPr>
          <w:rFonts w:ascii="Garamond" w:hAnsi="Garamond"/>
        </w:rPr>
        <w:t>, p. 21-30, 2019.</w:t>
      </w:r>
    </w:p>
    <w:p w14:paraId="676237C9" w14:textId="77777777" w:rsidR="002C784B" w:rsidRPr="00C70738" w:rsidRDefault="002C784B" w:rsidP="002C784B">
      <w:pPr>
        <w:pStyle w:val="Textodenotaderodap"/>
        <w:ind w:firstLine="0"/>
        <w:rPr>
          <w:rFonts w:ascii="Garamond" w:hAnsi="Garamond"/>
          <w:sz w:val="24"/>
          <w:szCs w:val="24"/>
          <w:lang w:val="es-ES_tradnl"/>
        </w:rPr>
      </w:pPr>
      <w:r w:rsidRPr="00C70738">
        <w:rPr>
          <w:rFonts w:ascii="Garamond" w:hAnsi="Garamond"/>
          <w:sz w:val="24"/>
          <w:szCs w:val="24"/>
          <w:lang w:val="es-ES_tradnl"/>
        </w:rPr>
        <w:t xml:space="preserve">HERRERO DE MIÑON, Miguel. “La constitución económica: desde la ambigüedad a la integración”, in </w:t>
      </w:r>
      <w:r w:rsidRPr="00C70738">
        <w:rPr>
          <w:rFonts w:ascii="Garamond" w:hAnsi="Garamond"/>
          <w:i/>
          <w:iCs/>
          <w:sz w:val="24"/>
          <w:szCs w:val="24"/>
          <w:lang w:val="es-ES_tradnl"/>
        </w:rPr>
        <w:t>Revista Española de Derecho Constitucional</w:t>
      </w:r>
      <w:r w:rsidRPr="00C70738">
        <w:rPr>
          <w:rFonts w:ascii="Garamond" w:hAnsi="Garamond"/>
          <w:sz w:val="24"/>
          <w:szCs w:val="24"/>
          <w:lang w:val="es-ES_tradnl"/>
        </w:rPr>
        <w:t>, ano 19, n. 57, set.-</w:t>
      </w:r>
      <w:proofErr w:type="spellStart"/>
      <w:r w:rsidRPr="00C70738">
        <w:rPr>
          <w:rFonts w:ascii="Garamond" w:hAnsi="Garamond"/>
          <w:sz w:val="24"/>
          <w:szCs w:val="24"/>
          <w:lang w:val="es-ES_tradnl"/>
        </w:rPr>
        <w:t>dez</w:t>
      </w:r>
      <w:proofErr w:type="spellEnd"/>
      <w:r w:rsidRPr="00C70738">
        <w:rPr>
          <w:rFonts w:ascii="Garamond" w:hAnsi="Garamond"/>
          <w:sz w:val="24"/>
          <w:szCs w:val="24"/>
          <w:lang w:val="es-ES_tradnl"/>
        </w:rPr>
        <w:t>., 1999, p.11-32.</w:t>
      </w:r>
    </w:p>
    <w:p w14:paraId="3E02FD9A" w14:textId="77777777" w:rsidR="006441E9" w:rsidRPr="00C70738" w:rsidRDefault="006441E9" w:rsidP="006441E9">
      <w:pPr>
        <w:pStyle w:val="Textodenotaderodap"/>
        <w:spacing w:before="120" w:after="120"/>
        <w:ind w:firstLine="0"/>
        <w:rPr>
          <w:rFonts w:ascii="Garamond" w:hAnsi="Garamond"/>
          <w:sz w:val="24"/>
          <w:szCs w:val="24"/>
        </w:rPr>
      </w:pPr>
      <w:r w:rsidRPr="00C70738">
        <w:rPr>
          <w:rFonts w:ascii="Garamond" w:hAnsi="Garamond"/>
          <w:sz w:val="24"/>
          <w:szCs w:val="24"/>
        </w:rPr>
        <w:t>JOERGES, Christian.</w:t>
      </w:r>
      <w:r w:rsidRPr="00C70738">
        <w:rPr>
          <w:rFonts w:ascii="Garamond" w:hAnsi="Garamond"/>
          <w:sz w:val="24"/>
          <w:szCs w:val="24"/>
          <w:lang w:val="es-ES_tradnl"/>
        </w:rPr>
        <w:t xml:space="preserve"> “¿Qué tiene de </w:t>
      </w:r>
      <w:proofErr w:type="gramStart"/>
      <w:r w:rsidRPr="00C70738">
        <w:rPr>
          <w:rFonts w:ascii="Garamond" w:hAnsi="Garamond"/>
          <w:sz w:val="24"/>
          <w:szCs w:val="24"/>
          <w:lang w:val="es-ES_tradnl"/>
        </w:rPr>
        <w:t>social-demócrata</w:t>
      </w:r>
      <w:proofErr w:type="gramEnd"/>
      <w:r w:rsidRPr="00C70738">
        <w:rPr>
          <w:rFonts w:ascii="Garamond" w:hAnsi="Garamond"/>
          <w:sz w:val="24"/>
          <w:szCs w:val="24"/>
          <w:lang w:val="es-ES_tradnl"/>
        </w:rPr>
        <w:t xml:space="preserve"> la constitución económica europea?”, in: </w:t>
      </w:r>
      <w:r w:rsidRPr="00C70738">
        <w:rPr>
          <w:rFonts w:ascii="Garamond" w:hAnsi="Garamond"/>
          <w:i/>
          <w:iCs/>
          <w:sz w:val="24"/>
          <w:szCs w:val="24"/>
          <w:lang w:val="es-ES_tradnl"/>
        </w:rPr>
        <w:t>Revista Española de Derecho Constitucional</w:t>
      </w:r>
      <w:r w:rsidRPr="00C70738">
        <w:rPr>
          <w:rFonts w:ascii="Garamond" w:hAnsi="Garamond"/>
          <w:sz w:val="24"/>
          <w:szCs w:val="24"/>
          <w:lang w:val="es-ES_tradnl"/>
        </w:rPr>
        <w:t>, nº. 73, 2005, p. 9-53.</w:t>
      </w:r>
    </w:p>
    <w:p w14:paraId="13C7BFC9" w14:textId="77777777" w:rsidR="00103C5A" w:rsidRPr="00C70738" w:rsidRDefault="00981449" w:rsidP="002C784B">
      <w:pPr>
        <w:spacing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>MACHADO, Maíra Rocha. O estudo de caso na pesquisa em direito. In: MACHADO, Maíra Rocha (Org.). </w:t>
      </w:r>
      <w:r w:rsidRPr="00C70738">
        <w:rPr>
          <w:rFonts w:ascii="Garamond" w:hAnsi="Garamond"/>
          <w:bCs/>
          <w:i/>
          <w:iCs/>
        </w:rPr>
        <w:t>Pesquisar empiricamente o direito</w:t>
      </w:r>
      <w:r w:rsidRPr="00C70738">
        <w:rPr>
          <w:rFonts w:ascii="Garamond" w:hAnsi="Garamond"/>
          <w:b/>
        </w:rPr>
        <w:t>. </w:t>
      </w:r>
      <w:r w:rsidRPr="00C70738">
        <w:rPr>
          <w:rFonts w:ascii="Garamond" w:hAnsi="Garamond"/>
        </w:rPr>
        <w:t xml:space="preserve">São Paulo: Rede de Estudos Empíricos em Direito, 2017. Cap. 11. p. 357-389. Disponível em: http://reedpesquisa.org/publicacoes/volume-2-no-1-2014/. Acesso em: </w:t>
      </w:r>
      <w:r w:rsidR="008F2E0A" w:rsidRPr="00C70738">
        <w:rPr>
          <w:rFonts w:ascii="Garamond" w:hAnsi="Garamond"/>
        </w:rPr>
        <w:t>24</w:t>
      </w:r>
      <w:r w:rsidR="00FA10AE" w:rsidRPr="00C70738">
        <w:rPr>
          <w:rFonts w:ascii="Garamond" w:hAnsi="Garamond"/>
        </w:rPr>
        <w:t>abril</w:t>
      </w:r>
      <w:r w:rsidRPr="00C70738">
        <w:rPr>
          <w:rFonts w:ascii="Garamond" w:hAnsi="Garamond"/>
        </w:rPr>
        <w:t>. 20</w:t>
      </w:r>
      <w:r w:rsidR="00FA10AE" w:rsidRPr="00C70738">
        <w:rPr>
          <w:rFonts w:ascii="Garamond" w:hAnsi="Garamond"/>
        </w:rPr>
        <w:t>20</w:t>
      </w:r>
      <w:r w:rsidRPr="00C70738">
        <w:rPr>
          <w:rFonts w:ascii="Garamond" w:hAnsi="Garamond"/>
        </w:rPr>
        <w:t>.</w:t>
      </w:r>
    </w:p>
    <w:p w14:paraId="71153664" w14:textId="77777777" w:rsidR="00B44DE3" w:rsidRPr="00C70738" w:rsidRDefault="00B44DE3" w:rsidP="00B44DE3">
      <w:pPr>
        <w:pStyle w:val="Textodenotaderodap"/>
        <w:spacing w:before="120" w:after="120"/>
        <w:ind w:firstLine="0"/>
        <w:rPr>
          <w:rFonts w:ascii="Garamond" w:hAnsi="Garamond"/>
          <w:sz w:val="24"/>
          <w:szCs w:val="24"/>
          <w:lang w:val="pt-PT"/>
        </w:rPr>
      </w:pPr>
      <w:r w:rsidRPr="00C70738">
        <w:rPr>
          <w:rFonts w:ascii="Garamond" w:hAnsi="Garamond"/>
          <w:sz w:val="24"/>
          <w:szCs w:val="24"/>
          <w:lang w:val="es-ES_tradnl"/>
        </w:rPr>
        <w:t xml:space="preserve">MOZOS Y DE LOS MOZOS, José Luis de los. </w:t>
      </w:r>
      <w:r w:rsidRPr="00C70738">
        <w:rPr>
          <w:rFonts w:ascii="Garamond" w:hAnsi="Garamond"/>
          <w:i/>
          <w:iCs/>
          <w:sz w:val="24"/>
          <w:szCs w:val="24"/>
          <w:lang w:val="es-ES_tradnl"/>
        </w:rPr>
        <w:t>El principio de la buena fe. Sus aplicaciones pr</w:t>
      </w:r>
      <w:r w:rsidR="00FB36DD" w:rsidRPr="00C70738">
        <w:rPr>
          <w:rFonts w:ascii="Garamond" w:hAnsi="Garamond"/>
          <w:i/>
          <w:iCs/>
          <w:sz w:val="24"/>
          <w:szCs w:val="24"/>
          <w:lang w:val="es-ES_tradnl"/>
        </w:rPr>
        <w:t>á</w:t>
      </w:r>
      <w:r w:rsidRPr="00C70738">
        <w:rPr>
          <w:rFonts w:ascii="Garamond" w:hAnsi="Garamond"/>
          <w:i/>
          <w:iCs/>
          <w:sz w:val="24"/>
          <w:szCs w:val="24"/>
          <w:lang w:val="es-ES_tradnl"/>
        </w:rPr>
        <w:t>cticas en el Derecho Civil Espa</w:t>
      </w:r>
      <w:r w:rsidR="00FB36DD" w:rsidRPr="00C70738">
        <w:rPr>
          <w:rFonts w:ascii="Garamond" w:hAnsi="Garamond"/>
          <w:i/>
          <w:iCs/>
          <w:sz w:val="24"/>
          <w:szCs w:val="24"/>
          <w:lang w:val="es-ES_tradnl"/>
        </w:rPr>
        <w:t>ñ</w:t>
      </w:r>
      <w:r w:rsidRPr="00C70738">
        <w:rPr>
          <w:rFonts w:ascii="Garamond" w:hAnsi="Garamond"/>
          <w:i/>
          <w:iCs/>
          <w:sz w:val="24"/>
          <w:szCs w:val="24"/>
          <w:lang w:val="es-ES_tradnl"/>
        </w:rPr>
        <w:t>ol</w:t>
      </w:r>
      <w:r w:rsidRPr="00C70738">
        <w:rPr>
          <w:rFonts w:ascii="Garamond" w:hAnsi="Garamond"/>
          <w:sz w:val="24"/>
          <w:szCs w:val="24"/>
          <w:lang w:val="es-ES_tradnl"/>
        </w:rPr>
        <w:t>, Ed. Bosch, 1a edici</w:t>
      </w:r>
      <w:r w:rsidR="00FB36DD" w:rsidRPr="00C70738">
        <w:rPr>
          <w:rFonts w:ascii="Garamond" w:hAnsi="Garamond"/>
          <w:sz w:val="24"/>
          <w:szCs w:val="24"/>
          <w:lang w:val="es-ES_tradnl"/>
        </w:rPr>
        <w:t>ó</w:t>
      </w:r>
      <w:r w:rsidRPr="00C70738">
        <w:rPr>
          <w:rFonts w:ascii="Garamond" w:hAnsi="Garamond"/>
          <w:sz w:val="24"/>
          <w:szCs w:val="24"/>
          <w:lang w:val="es-ES_tradnl"/>
        </w:rPr>
        <w:t>n, Barcelona, 1965.</w:t>
      </w:r>
    </w:p>
    <w:p w14:paraId="55D49941" w14:textId="77777777" w:rsidR="00103C5A" w:rsidRPr="00C70738" w:rsidRDefault="002C784B" w:rsidP="002C784B">
      <w:pPr>
        <w:pStyle w:val="NormalWeb"/>
        <w:spacing w:before="0" w:beforeAutospacing="0" w:after="120" w:afterAutospacing="0"/>
        <w:jc w:val="both"/>
        <w:rPr>
          <w:rFonts w:ascii="Garamond" w:hAnsi="Garamond"/>
        </w:rPr>
      </w:pPr>
      <w:r w:rsidRPr="00C70738">
        <w:rPr>
          <w:rFonts w:ascii="Garamond" w:hAnsi="Garamond"/>
        </w:rPr>
        <w:t xml:space="preserve">SAIZ MORENO, Fernando. </w:t>
      </w:r>
      <w:r w:rsidR="008F2E0A" w:rsidRPr="00C70738">
        <w:rPr>
          <w:rFonts w:ascii="Garamond" w:hAnsi="Garamond"/>
        </w:rPr>
        <w:t>“</w:t>
      </w:r>
      <w:proofErr w:type="spellStart"/>
      <w:r w:rsidRPr="00C70738">
        <w:rPr>
          <w:rFonts w:ascii="Garamond" w:hAnsi="Garamond"/>
        </w:rPr>
        <w:t>Orden</w:t>
      </w:r>
      <w:proofErr w:type="spellEnd"/>
      <w:r w:rsidRPr="00C70738">
        <w:rPr>
          <w:rFonts w:ascii="Garamond" w:hAnsi="Garamond"/>
        </w:rPr>
        <w:t xml:space="preserve"> público económico y </w:t>
      </w:r>
      <w:proofErr w:type="spellStart"/>
      <w:r w:rsidRPr="00C70738">
        <w:rPr>
          <w:rFonts w:ascii="Garamond" w:hAnsi="Garamond"/>
        </w:rPr>
        <w:t>restricciones</w:t>
      </w:r>
      <w:proofErr w:type="spellEnd"/>
      <w:r w:rsidRPr="00C70738">
        <w:rPr>
          <w:rFonts w:ascii="Garamond" w:hAnsi="Garamond"/>
        </w:rPr>
        <w:t xml:space="preserve"> de la </w:t>
      </w:r>
      <w:proofErr w:type="spellStart"/>
      <w:r w:rsidRPr="00C70738">
        <w:rPr>
          <w:rFonts w:ascii="Garamond" w:hAnsi="Garamond"/>
        </w:rPr>
        <w:t>competencia</w:t>
      </w:r>
      <w:proofErr w:type="spellEnd"/>
      <w:r w:rsidR="008F2E0A" w:rsidRPr="00C70738">
        <w:rPr>
          <w:rFonts w:ascii="Garamond" w:hAnsi="Garamond"/>
        </w:rPr>
        <w:t>”</w:t>
      </w:r>
      <w:r w:rsidRPr="00C70738">
        <w:rPr>
          <w:rFonts w:ascii="Garamond" w:hAnsi="Garamond"/>
        </w:rPr>
        <w:t xml:space="preserve">, in:  </w:t>
      </w:r>
      <w:r w:rsidRPr="00C70738">
        <w:rPr>
          <w:rFonts w:ascii="Garamond" w:hAnsi="Garamond"/>
          <w:i/>
          <w:iCs/>
        </w:rPr>
        <w:t xml:space="preserve">Revista de </w:t>
      </w:r>
      <w:proofErr w:type="spellStart"/>
      <w:r w:rsidRPr="00C70738">
        <w:rPr>
          <w:rFonts w:ascii="Garamond" w:hAnsi="Garamond"/>
          <w:i/>
          <w:iCs/>
        </w:rPr>
        <w:t>Administración</w:t>
      </w:r>
      <w:proofErr w:type="spellEnd"/>
      <w:r w:rsidRPr="00C70738">
        <w:rPr>
          <w:rFonts w:ascii="Garamond" w:hAnsi="Garamond"/>
          <w:i/>
          <w:iCs/>
        </w:rPr>
        <w:t xml:space="preserve"> Públic</w:t>
      </w:r>
      <w:r w:rsidRPr="00C70738">
        <w:rPr>
          <w:rFonts w:ascii="Garamond" w:hAnsi="Garamond"/>
        </w:rPr>
        <w:t xml:space="preserve">a, </w:t>
      </w:r>
      <w:proofErr w:type="spellStart"/>
      <w:r w:rsidRPr="00C70738">
        <w:rPr>
          <w:rFonts w:ascii="Garamond" w:hAnsi="Garamond"/>
        </w:rPr>
        <w:t>Sep</w:t>
      </w:r>
      <w:proofErr w:type="spellEnd"/>
      <w:r w:rsidRPr="00C70738">
        <w:rPr>
          <w:rFonts w:ascii="Garamond" w:hAnsi="Garamond"/>
        </w:rPr>
        <w:t xml:space="preserve"> 1, 1977, p. 597-643.</w:t>
      </w:r>
    </w:p>
    <w:p w14:paraId="5808476D" w14:textId="77777777" w:rsidR="00072C3F" w:rsidRPr="00C70738" w:rsidRDefault="00072C3F" w:rsidP="002C784B">
      <w:pPr>
        <w:spacing w:after="120" w:line="240" w:lineRule="auto"/>
        <w:ind w:firstLine="0"/>
        <w:rPr>
          <w:rFonts w:ascii="Garamond" w:hAnsi="Garamond"/>
          <w:lang w:val="es-ES_tradnl"/>
        </w:rPr>
      </w:pPr>
      <w:r w:rsidRPr="00C70738">
        <w:rPr>
          <w:rFonts w:ascii="Garamond" w:hAnsi="Garamond"/>
        </w:rPr>
        <w:t>TREMPS, Pablo Pérez</w:t>
      </w:r>
      <w:r w:rsidRPr="00C70738">
        <w:rPr>
          <w:rFonts w:ascii="Garamond" w:hAnsi="Garamond"/>
          <w:lang w:val="es-ES_tradnl"/>
        </w:rPr>
        <w:t xml:space="preserve">. “Constitución Española y Unión Europea”, in: </w:t>
      </w:r>
      <w:r w:rsidRPr="00C70738">
        <w:rPr>
          <w:rFonts w:ascii="Garamond" w:hAnsi="Garamond"/>
          <w:i/>
          <w:iCs/>
          <w:lang w:val="es-ES_tradnl"/>
        </w:rPr>
        <w:t>Revista Española de Derecho Constitucional</w:t>
      </w:r>
      <w:r w:rsidRPr="00C70738">
        <w:rPr>
          <w:rFonts w:ascii="Garamond" w:hAnsi="Garamond"/>
          <w:lang w:val="es-ES_tradnl"/>
        </w:rPr>
        <w:t>, no. 71, 2004, pp. 103-121.</w:t>
      </w:r>
    </w:p>
    <w:p w14:paraId="50A90141" w14:textId="77777777" w:rsidR="005E3932" w:rsidRPr="00C70738" w:rsidRDefault="005E3932" w:rsidP="005E3932">
      <w:pPr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 xml:space="preserve">VEIGA, Fábio da Silva; GUTINIEKI, João Otávio </w:t>
      </w:r>
      <w:proofErr w:type="spellStart"/>
      <w:r w:rsidRPr="00C70738">
        <w:rPr>
          <w:rFonts w:ascii="Garamond" w:hAnsi="Garamond"/>
        </w:rPr>
        <w:t>Bacchi</w:t>
      </w:r>
      <w:proofErr w:type="spellEnd"/>
      <w:r w:rsidRPr="00C70738">
        <w:rPr>
          <w:rFonts w:ascii="Garamond" w:hAnsi="Garamond"/>
        </w:rPr>
        <w:t xml:space="preserve">. </w:t>
      </w:r>
      <w:r w:rsidR="000E1761" w:rsidRPr="00C70738">
        <w:rPr>
          <w:rFonts w:ascii="Garamond" w:hAnsi="Garamond"/>
        </w:rPr>
        <w:t>“</w:t>
      </w:r>
      <w:r w:rsidRPr="00C70738">
        <w:rPr>
          <w:rFonts w:ascii="Garamond" w:hAnsi="Garamond"/>
        </w:rPr>
        <w:t>Estruturalismo, Desenvolvimento e Legislação Comercial</w:t>
      </w:r>
      <w:r w:rsidR="000E1761" w:rsidRPr="00C70738">
        <w:rPr>
          <w:rFonts w:ascii="Garamond" w:hAnsi="Garamond"/>
        </w:rPr>
        <w:t>”</w:t>
      </w:r>
      <w:r w:rsidRPr="00C70738">
        <w:rPr>
          <w:rFonts w:ascii="Garamond" w:hAnsi="Garamond"/>
        </w:rPr>
        <w:t xml:space="preserve">, in: </w:t>
      </w:r>
      <w:r w:rsidRPr="00C70738">
        <w:rPr>
          <w:rFonts w:ascii="Garamond" w:hAnsi="Garamond"/>
          <w:i/>
          <w:iCs/>
        </w:rPr>
        <w:t>Revista Jurídica</w:t>
      </w:r>
      <w:r w:rsidRPr="00C70738">
        <w:rPr>
          <w:rFonts w:ascii="Garamond" w:hAnsi="Garamond"/>
        </w:rPr>
        <w:t>, vol. 2, n. 55, 2019, p. 157-176.  e-ISSN: 2316-753X.</w:t>
      </w:r>
    </w:p>
    <w:p w14:paraId="7EA20096" w14:textId="77777777" w:rsidR="005E3932" w:rsidRPr="00C70738" w:rsidRDefault="00972E43" w:rsidP="00FB36DD">
      <w:pPr>
        <w:spacing w:after="120" w:line="240" w:lineRule="auto"/>
        <w:ind w:firstLine="0"/>
        <w:rPr>
          <w:rFonts w:ascii="Garamond" w:hAnsi="Garamond"/>
        </w:rPr>
      </w:pPr>
      <w:r w:rsidRPr="00C70738">
        <w:rPr>
          <w:rFonts w:ascii="Garamond" w:hAnsi="Garamond"/>
        </w:rPr>
        <w:t xml:space="preserve">VENÂNCIO FILHO, Alberto. </w:t>
      </w:r>
      <w:r w:rsidRPr="00C70738">
        <w:rPr>
          <w:rFonts w:ascii="Garamond" w:hAnsi="Garamond"/>
          <w:i/>
          <w:iCs/>
        </w:rPr>
        <w:t>A intervenção do Estado no domínio econômico</w:t>
      </w:r>
      <w:r w:rsidRPr="00C70738">
        <w:rPr>
          <w:rFonts w:ascii="Garamond" w:hAnsi="Garamond"/>
        </w:rPr>
        <w:t xml:space="preserve">: o direito público econômico no Brasil. Ed. </w:t>
      </w:r>
      <w:proofErr w:type="spellStart"/>
      <w:r w:rsidRPr="00C70738">
        <w:rPr>
          <w:rFonts w:ascii="Garamond" w:hAnsi="Garamond"/>
        </w:rPr>
        <w:t>Fac-simile</w:t>
      </w:r>
      <w:proofErr w:type="spellEnd"/>
      <w:r w:rsidRPr="00C70738">
        <w:rPr>
          <w:rFonts w:ascii="Garamond" w:hAnsi="Garamond"/>
        </w:rPr>
        <w:t>. Rio de Janeiro: Editora Renovar, 1998.</w:t>
      </w:r>
    </w:p>
    <w:sectPr w:rsidR="005E3932" w:rsidRPr="00C70738" w:rsidSect="00BF178C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D181" w14:textId="77777777" w:rsidR="00C021E1" w:rsidRDefault="00C021E1">
      <w:pPr>
        <w:spacing w:line="240" w:lineRule="auto"/>
      </w:pPr>
      <w:r>
        <w:separator/>
      </w:r>
    </w:p>
  </w:endnote>
  <w:endnote w:type="continuationSeparator" w:id="0">
    <w:p w14:paraId="15E48C9E" w14:textId="77777777" w:rsidR="00C021E1" w:rsidRDefault="00C02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4017" w14:textId="77777777" w:rsidR="00A269E9" w:rsidRDefault="00A269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0A74" w14:textId="77777777" w:rsidR="00C021E1" w:rsidRDefault="00C021E1">
      <w:pPr>
        <w:spacing w:line="240" w:lineRule="auto"/>
      </w:pPr>
      <w:r>
        <w:separator/>
      </w:r>
    </w:p>
  </w:footnote>
  <w:footnote w:type="continuationSeparator" w:id="0">
    <w:p w14:paraId="01D8C878" w14:textId="77777777" w:rsidR="00C021E1" w:rsidRDefault="00C021E1">
      <w:pPr>
        <w:spacing w:line="240" w:lineRule="auto"/>
      </w:pPr>
      <w:r>
        <w:continuationSeparator/>
      </w:r>
    </w:p>
  </w:footnote>
  <w:footnote w:id="1">
    <w:p w14:paraId="54B27ECE" w14:textId="63C5D67A" w:rsidR="00A269E9" w:rsidRPr="000E1761" w:rsidRDefault="00A269E9" w:rsidP="000E1761">
      <w:pPr>
        <w:pStyle w:val="Textodenotaderodap"/>
        <w:ind w:firstLine="0"/>
        <w:rPr>
          <w:rFonts w:ascii="Garamond" w:hAnsi="Garamond"/>
        </w:rPr>
      </w:pPr>
      <w:r w:rsidRPr="000E1761">
        <w:rPr>
          <w:rStyle w:val="Refdenotaderodap"/>
          <w:rFonts w:ascii="Garamond" w:hAnsi="Garamond"/>
        </w:rPr>
        <w:footnoteRef/>
      </w:r>
      <w:r w:rsidRPr="000E1761">
        <w:rPr>
          <w:rFonts w:ascii="Garamond" w:hAnsi="Garamond"/>
        </w:rPr>
        <w:t xml:space="preserve"> </w:t>
      </w:r>
      <w:r w:rsidR="007067B4">
        <w:rPr>
          <w:rFonts w:ascii="Garamond" w:hAnsi="Garamond"/>
        </w:rPr>
        <w:t>Maior q</w:t>
      </w:r>
      <w:r w:rsidR="000711AD">
        <w:rPr>
          <w:rFonts w:ascii="Garamond" w:hAnsi="Garamond"/>
        </w:rPr>
        <w:t>ualificação</w:t>
      </w:r>
      <w:r w:rsidR="007067B4">
        <w:rPr>
          <w:rFonts w:ascii="Garamond" w:hAnsi="Garamond"/>
        </w:rPr>
        <w:t xml:space="preserve"> atual ou em andamento</w:t>
      </w:r>
      <w:r w:rsidR="000711AD">
        <w:rPr>
          <w:rFonts w:ascii="Garamond" w:hAnsi="Garamond"/>
        </w:rPr>
        <w:t xml:space="preserve">, filiação </w:t>
      </w:r>
      <w:r w:rsidR="007067B4">
        <w:rPr>
          <w:rFonts w:ascii="Garamond" w:hAnsi="Garamond"/>
        </w:rPr>
        <w:t xml:space="preserve">atual </w:t>
      </w:r>
      <w:r w:rsidR="000711AD">
        <w:rPr>
          <w:rFonts w:ascii="Garamond" w:hAnsi="Garamond"/>
        </w:rPr>
        <w:t>e e-mail.</w:t>
      </w:r>
      <w:r w:rsidR="007067B4">
        <w:rPr>
          <w:rFonts w:ascii="Garamond" w:hAnsi="Garamond"/>
        </w:rPr>
        <w:t xml:space="preserve"> (aceita-se inclusão de Link lattes ou </w:t>
      </w:r>
      <w:proofErr w:type="spellStart"/>
      <w:r w:rsidR="007067B4">
        <w:rPr>
          <w:rFonts w:ascii="Garamond" w:hAnsi="Garamond"/>
        </w:rPr>
        <w:t>orcid</w:t>
      </w:r>
      <w:proofErr w:type="spellEnd"/>
      <w:r w:rsidR="007067B4">
        <w:rPr>
          <w:rFonts w:ascii="Garamond" w:hAnsi="Garamond"/>
        </w:rPr>
        <w:t>)</w:t>
      </w:r>
    </w:p>
  </w:footnote>
  <w:footnote w:id="2">
    <w:p w14:paraId="5EB787AA" w14:textId="3F036E33" w:rsidR="00A269E9" w:rsidRPr="000E1761" w:rsidRDefault="00A269E9" w:rsidP="000E1761">
      <w:pPr>
        <w:pStyle w:val="Textodenotaderodap"/>
        <w:ind w:firstLine="0"/>
        <w:rPr>
          <w:rFonts w:ascii="Garamond" w:hAnsi="Garamond"/>
          <w:lang w:val="pt-PT"/>
        </w:rPr>
      </w:pPr>
      <w:r w:rsidRPr="000E1761">
        <w:rPr>
          <w:rStyle w:val="Refdenotaderodap"/>
          <w:rFonts w:ascii="Garamond" w:hAnsi="Garamond"/>
        </w:rPr>
        <w:footnoteRef/>
      </w:r>
      <w:r w:rsidRPr="000E1761">
        <w:rPr>
          <w:rFonts w:ascii="Garamond" w:hAnsi="Garamond"/>
        </w:rPr>
        <w:t xml:space="preserve"> </w:t>
      </w:r>
      <w:r w:rsidR="007067B4">
        <w:rPr>
          <w:rFonts w:ascii="Garamond" w:hAnsi="Garamond"/>
        </w:rPr>
        <w:t>Maior qualificação atual ou em andamento, filiação atual e e-mail.</w:t>
      </w:r>
      <w:r w:rsidR="007067B4" w:rsidRPr="007067B4">
        <w:rPr>
          <w:rFonts w:ascii="Garamond" w:hAnsi="Garamond"/>
        </w:rPr>
        <w:t xml:space="preserve"> </w:t>
      </w:r>
      <w:r w:rsidR="007067B4">
        <w:rPr>
          <w:rFonts w:ascii="Garamond" w:hAnsi="Garamond"/>
        </w:rPr>
        <w:t>(</w:t>
      </w:r>
      <w:r w:rsidR="007067B4">
        <w:rPr>
          <w:rFonts w:ascii="Garamond" w:hAnsi="Garamond"/>
        </w:rPr>
        <w:t xml:space="preserve">aceita-se inclusão de Link lattes ou </w:t>
      </w:r>
      <w:proofErr w:type="spellStart"/>
      <w:r w:rsidR="007067B4">
        <w:rPr>
          <w:rFonts w:ascii="Garamond" w:hAnsi="Garamond"/>
        </w:rPr>
        <w:t>orcid</w:t>
      </w:r>
      <w:proofErr w:type="spellEnd"/>
      <w:r w:rsidR="007067B4">
        <w:rPr>
          <w:rFonts w:ascii="Garamond" w:hAnsi="Garamond"/>
        </w:rPr>
        <w:t>)</w:t>
      </w:r>
    </w:p>
  </w:footnote>
  <w:footnote w:id="3">
    <w:p w14:paraId="41DC7500" w14:textId="77777777" w:rsidR="00A269E9" w:rsidRPr="000E1761" w:rsidRDefault="00A269E9" w:rsidP="000E1761">
      <w:pPr>
        <w:pStyle w:val="Textodenotaderodap"/>
        <w:ind w:firstLine="0"/>
        <w:rPr>
          <w:rFonts w:ascii="Garamond" w:hAnsi="Garamond"/>
          <w:lang w:val="pt-PT"/>
        </w:rPr>
      </w:pPr>
      <w:r w:rsidRPr="000E1761">
        <w:rPr>
          <w:rStyle w:val="Refdenotaderodap"/>
          <w:rFonts w:ascii="Garamond" w:hAnsi="Garamond"/>
        </w:rPr>
        <w:footnoteRef/>
      </w:r>
      <w:r w:rsidRPr="000E1761">
        <w:rPr>
          <w:rFonts w:ascii="Garamond" w:hAnsi="Garamond"/>
          <w:lang w:val="pt-PT"/>
        </w:rPr>
        <w:t xml:space="preserve">O artigo 38 da Constituição Espanhola dispõe: </w:t>
      </w:r>
      <w:r w:rsidRPr="000E1761">
        <w:rPr>
          <w:rFonts w:ascii="Garamond" w:hAnsi="Garamond" w:cs="Calibri"/>
          <w:lang w:val="pt-PT"/>
        </w:rPr>
        <w:t>«</w:t>
      </w:r>
      <w:r w:rsidRPr="000E1761">
        <w:rPr>
          <w:rFonts w:ascii="Garamond" w:hAnsi="Garamond"/>
          <w:lang w:val="es-ES"/>
        </w:rPr>
        <w:t>Se reconoce la libertad de empresa en el marco de la economía de mercado. Los poderes públicos garantizan y protegen su ejercicio y la defensa de la productividad, de acuerdo con las exigencias de la economía general y, en su caso, de la planificación</w:t>
      </w:r>
      <w:r w:rsidRPr="000E1761">
        <w:rPr>
          <w:rFonts w:ascii="Garamond" w:hAnsi="Garamond" w:cs="Calibri"/>
        </w:rPr>
        <w:t>»</w:t>
      </w:r>
      <w:r w:rsidRPr="000E1761">
        <w:rPr>
          <w:rFonts w:ascii="Garamond" w:hAnsi="Garamond"/>
          <w:lang w:val="es-ES"/>
        </w:rPr>
        <w:t>.</w:t>
      </w:r>
    </w:p>
  </w:footnote>
  <w:footnote w:id="4">
    <w:p w14:paraId="41815E96" w14:textId="77777777" w:rsidR="00A269E9" w:rsidRPr="000E1761" w:rsidRDefault="00A269E9" w:rsidP="000E1761">
      <w:pPr>
        <w:pStyle w:val="Textodenotaderodap"/>
        <w:ind w:firstLine="0"/>
        <w:rPr>
          <w:rFonts w:ascii="Garamond" w:hAnsi="Garamond"/>
          <w:lang w:val="pt-PT"/>
        </w:rPr>
      </w:pPr>
      <w:r w:rsidRPr="000E1761">
        <w:rPr>
          <w:rStyle w:val="Refdenotaderodap"/>
          <w:rFonts w:ascii="Garamond" w:hAnsi="Garamond"/>
        </w:rPr>
        <w:footnoteRef/>
      </w:r>
      <w:r w:rsidRPr="000E1761">
        <w:rPr>
          <w:rFonts w:ascii="Garamond" w:hAnsi="Garamond"/>
        </w:rPr>
        <w:t xml:space="preserve"> Cfr. HERRERO DE MIÑON, Miguel. “La </w:t>
      </w:r>
      <w:proofErr w:type="spellStart"/>
      <w:r w:rsidRPr="000E1761">
        <w:rPr>
          <w:rFonts w:ascii="Garamond" w:hAnsi="Garamond"/>
        </w:rPr>
        <w:t>constitución</w:t>
      </w:r>
      <w:proofErr w:type="spellEnd"/>
      <w:r w:rsidRPr="000E1761">
        <w:rPr>
          <w:rFonts w:ascii="Garamond" w:hAnsi="Garamond"/>
        </w:rPr>
        <w:t xml:space="preserve"> económica: desde </w:t>
      </w:r>
      <w:proofErr w:type="spellStart"/>
      <w:r w:rsidRPr="000E1761">
        <w:rPr>
          <w:rFonts w:ascii="Garamond" w:hAnsi="Garamond"/>
        </w:rPr>
        <w:t>laambigüedad</w:t>
      </w:r>
      <w:proofErr w:type="spellEnd"/>
      <w:r w:rsidRPr="000E1761">
        <w:rPr>
          <w:rFonts w:ascii="Garamond" w:hAnsi="Garamond"/>
        </w:rPr>
        <w:t xml:space="preserve"> a </w:t>
      </w:r>
      <w:proofErr w:type="spellStart"/>
      <w:r w:rsidRPr="000E1761">
        <w:rPr>
          <w:rFonts w:ascii="Garamond" w:hAnsi="Garamond"/>
        </w:rPr>
        <w:t>laintegración</w:t>
      </w:r>
      <w:proofErr w:type="spellEnd"/>
      <w:r w:rsidRPr="000E1761">
        <w:rPr>
          <w:rFonts w:ascii="Garamond" w:hAnsi="Garamond"/>
        </w:rPr>
        <w:t>”, ob. cit., p. 19.</w:t>
      </w:r>
    </w:p>
  </w:footnote>
  <w:footnote w:id="5">
    <w:p w14:paraId="1B167550" w14:textId="77777777" w:rsidR="00A269E9" w:rsidRPr="000E1761" w:rsidRDefault="00A269E9" w:rsidP="000E1761">
      <w:pPr>
        <w:pStyle w:val="NormalWeb"/>
        <w:spacing w:before="0" w:beforeAutospacing="0" w:after="0" w:afterAutospacing="0"/>
        <w:jc w:val="both"/>
        <w:rPr>
          <w:rFonts w:ascii="Garamond" w:eastAsiaTheme="minorHAnsi" w:hAnsi="Garamond" w:cstheme="minorBidi"/>
          <w:sz w:val="20"/>
          <w:szCs w:val="20"/>
          <w:lang w:eastAsia="en-US"/>
        </w:rPr>
      </w:pPr>
      <w:r w:rsidRPr="000E1761">
        <w:rPr>
          <w:rStyle w:val="Refdenotaderodap"/>
          <w:rFonts w:ascii="Garamond" w:hAnsi="Garamond"/>
          <w:sz w:val="20"/>
          <w:szCs w:val="20"/>
        </w:rPr>
        <w:footnoteRef/>
      </w:r>
      <w:r w:rsidRPr="000E1761">
        <w:rPr>
          <w:rFonts w:ascii="Garamond" w:eastAsiaTheme="minorHAnsi" w:hAnsi="Garamond" w:cstheme="minorBidi"/>
          <w:sz w:val="20"/>
          <w:szCs w:val="20"/>
          <w:lang w:eastAsia="en-US"/>
        </w:rPr>
        <w:t xml:space="preserve">Um dos questionamentos que o </w:t>
      </w:r>
      <w:proofErr w:type="spellStart"/>
      <w:r w:rsidRPr="000E1761">
        <w:rPr>
          <w:rFonts w:ascii="Garamond" w:eastAsiaTheme="minorHAnsi" w:hAnsi="Garamond" w:cstheme="minorBidi"/>
          <w:sz w:val="20"/>
          <w:szCs w:val="20"/>
          <w:lang w:eastAsia="en-US"/>
        </w:rPr>
        <w:t>retrocitado</w:t>
      </w:r>
      <w:proofErr w:type="spellEnd"/>
      <w:r w:rsidRPr="000E1761">
        <w:rPr>
          <w:rFonts w:ascii="Garamond" w:eastAsiaTheme="minorHAnsi" w:hAnsi="Garamond" w:cstheme="minorBidi"/>
          <w:sz w:val="20"/>
          <w:szCs w:val="20"/>
          <w:lang w:eastAsia="en-US"/>
        </w:rPr>
        <w:t xml:space="preserve"> autor faz é com relação aos limites relativos ao intervencionismo ou liberalismo na Constituição espanhola, assim pergunta: Agora, se a Constituição não é economicamente neutra entre intervencionismo e liberalismo, mas limita aquele em favor do último, até onde pode chegar a inibição dos poderes públicos dentro do modelo constitucional? Começa a responder invocando os princípios Reitores da Constituição (Título II, Cap. III) e as previsões de intervenção na economia (Título VII) que dão conteúdo à classificação do Estado como «social» (</w:t>
      </w:r>
      <w:proofErr w:type="spellStart"/>
      <w:r w:rsidRPr="000E1761">
        <w:rPr>
          <w:rFonts w:ascii="Garamond" w:eastAsiaTheme="minorHAnsi" w:hAnsi="Garamond" w:cstheme="minorBidi"/>
          <w:sz w:val="20"/>
          <w:szCs w:val="20"/>
          <w:lang w:eastAsia="en-US"/>
        </w:rPr>
        <w:t>art</w:t>
      </w:r>
      <w:proofErr w:type="spellEnd"/>
      <w:r w:rsidRPr="000E1761">
        <w:rPr>
          <w:rFonts w:ascii="Garamond" w:eastAsiaTheme="minorHAnsi" w:hAnsi="Garamond" w:cstheme="minorBidi"/>
          <w:sz w:val="20"/>
          <w:szCs w:val="20"/>
          <w:lang w:eastAsia="en-US"/>
        </w:rPr>
        <w:t>. 1.1 CE) e à cláusula do artigo 9.2 CE, assim como a interpretação do próprio Tribunal Constitucional (SS 189/1987, 222/1992 e 55/1994). No entanto, refere que a normatividade dos princípios Reitores são de índole diversa dos direitos e liberdades individuais, mas ainda assim não deve ser subvalorizada. Explica que a inclusão dos princípios Reitores e as previsões de intervenção na economia não foram elaboradas com acerto pelos constituintes (ele próprio foi um dos sete “pais da constituição”), mas pondera que não se deve descartá-los de forma tão simplista a ponto de descartar o pacto constitucional. Da mesma forma que a neutralidade econômica da Constituição não impediu que, a partir dos direitos fundamentais nele reconhecidos, surgisse um modelo econômico que, ao projetar nesse campo, o valor superior da liberdade consagra o mercado, parece lógico que os princípios e técnicas organizativas que respondem à qualificação do «social» como expressão do valor superior da justiça (</w:t>
      </w:r>
      <w:proofErr w:type="spellStart"/>
      <w:r w:rsidRPr="000E1761">
        <w:rPr>
          <w:rFonts w:ascii="Garamond" w:eastAsiaTheme="minorHAnsi" w:hAnsi="Garamond" w:cstheme="minorBidi"/>
          <w:sz w:val="20"/>
          <w:szCs w:val="20"/>
          <w:lang w:eastAsia="en-US"/>
        </w:rPr>
        <w:t>art</w:t>
      </w:r>
      <w:proofErr w:type="spellEnd"/>
      <w:r w:rsidRPr="000E1761">
        <w:rPr>
          <w:rFonts w:ascii="Garamond" w:eastAsiaTheme="minorHAnsi" w:hAnsi="Garamond" w:cstheme="minorBidi"/>
          <w:sz w:val="20"/>
          <w:szCs w:val="20"/>
          <w:lang w:eastAsia="en-US"/>
        </w:rPr>
        <w:t xml:space="preserve">. 1.1 CE) também têm relevância na configuração do modelo mencionado. </w:t>
      </w:r>
      <w:proofErr w:type="spellStart"/>
      <w:r w:rsidRPr="000E1761">
        <w:rPr>
          <w:rFonts w:ascii="Garamond" w:hAnsi="Garamond"/>
          <w:sz w:val="20"/>
          <w:szCs w:val="20"/>
        </w:rPr>
        <w:t>Cfr</w:t>
      </w:r>
      <w:proofErr w:type="spellEnd"/>
      <w:r w:rsidRPr="000E1761">
        <w:rPr>
          <w:rFonts w:ascii="Garamond" w:hAnsi="Garamond"/>
          <w:sz w:val="20"/>
          <w:szCs w:val="20"/>
        </w:rPr>
        <w:t xml:space="preserve">. HERRERO DE MIÑON, Miguel. “La </w:t>
      </w:r>
      <w:proofErr w:type="spellStart"/>
      <w:r w:rsidRPr="000E1761">
        <w:rPr>
          <w:rFonts w:ascii="Garamond" w:hAnsi="Garamond"/>
          <w:sz w:val="20"/>
          <w:szCs w:val="20"/>
        </w:rPr>
        <w:t>constitución</w:t>
      </w:r>
      <w:proofErr w:type="spellEnd"/>
      <w:r w:rsidRPr="000E1761">
        <w:rPr>
          <w:rFonts w:ascii="Garamond" w:hAnsi="Garamond"/>
          <w:sz w:val="20"/>
          <w:szCs w:val="20"/>
        </w:rPr>
        <w:t xml:space="preserve"> económica: desde la </w:t>
      </w:r>
      <w:proofErr w:type="spellStart"/>
      <w:r w:rsidRPr="000E1761">
        <w:rPr>
          <w:rFonts w:ascii="Garamond" w:hAnsi="Garamond"/>
          <w:sz w:val="20"/>
          <w:szCs w:val="20"/>
        </w:rPr>
        <w:t>ambigüedad</w:t>
      </w:r>
      <w:proofErr w:type="spellEnd"/>
      <w:r w:rsidRPr="000E1761">
        <w:rPr>
          <w:rFonts w:ascii="Garamond" w:hAnsi="Garamond"/>
          <w:sz w:val="20"/>
          <w:szCs w:val="20"/>
        </w:rPr>
        <w:t xml:space="preserve"> a la </w:t>
      </w:r>
      <w:proofErr w:type="spellStart"/>
      <w:r w:rsidRPr="000E1761">
        <w:rPr>
          <w:rFonts w:ascii="Garamond" w:hAnsi="Garamond"/>
          <w:sz w:val="20"/>
          <w:szCs w:val="20"/>
        </w:rPr>
        <w:t>integración</w:t>
      </w:r>
      <w:proofErr w:type="spellEnd"/>
      <w:r w:rsidRPr="000E1761">
        <w:rPr>
          <w:rFonts w:ascii="Garamond" w:hAnsi="Garamond"/>
          <w:sz w:val="20"/>
          <w:szCs w:val="20"/>
        </w:rPr>
        <w:t>”, ob. cit., p. 23.</w:t>
      </w:r>
    </w:p>
    <w:p w14:paraId="479F4937" w14:textId="77777777" w:rsidR="00A269E9" w:rsidRPr="000E1761" w:rsidRDefault="00A269E9" w:rsidP="000E1761">
      <w:pPr>
        <w:pStyle w:val="Textodenotaderodap"/>
        <w:ind w:firstLine="0"/>
        <w:rPr>
          <w:rFonts w:ascii="Garamond" w:hAnsi="Garamond"/>
          <w:lang w:val="pt-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309"/>
    <w:multiLevelType w:val="multilevel"/>
    <w:tmpl w:val="444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06A64"/>
    <w:multiLevelType w:val="multilevel"/>
    <w:tmpl w:val="7F5E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B7FAF"/>
    <w:multiLevelType w:val="hybridMultilevel"/>
    <w:tmpl w:val="DE2489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C58A5"/>
    <w:multiLevelType w:val="multilevel"/>
    <w:tmpl w:val="ABDA6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515D0A"/>
    <w:multiLevelType w:val="multilevel"/>
    <w:tmpl w:val="ABDA6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5A"/>
    <w:rsid w:val="00016B88"/>
    <w:rsid w:val="00040BD6"/>
    <w:rsid w:val="00050EEE"/>
    <w:rsid w:val="00060055"/>
    <w:rsid w:val="000711AD"/>
    <w:rsid w:val="00072C3F"/>
    <w:rsid w:val="000857A6"/>
    <w:rsid w:val="000B5500"/>
    <w:rsid w:val="000C7B2A"/>
    <w:rsid w:val="000D22A6"/>
    <w:rsid w:val="000E1761"/>
    <w:rsid w:val="000E3EED"/>
    <w:rsid w:val="000E56A6"/>
    <w:rsid w:val="000F3FFA"/>
    <w:rsid w:val="00102B70"/>
    <w:rsid w:val="00103C5A"/>
    <w:rsid w:val="001173F8"/>
    <w:rsid w:val="00143F19"/>
    <w:rsid w:val="00175756"/>
    <w:rsid w:val="0019576A"/>
    <w:rsid w:val="001B7751"/>
    <w:rsid w:val="001E2D78"/>
    <w:rsid w:val="001E4B53"/>
    <w:rsid w:val="002134FD"/>
    <w:rsid w:val="00231760"/>
    <w:rsid w:val="002412B1"/>
    <w:rsid w:val="00276828"/>
    <w:rsid w:val="002B3924"/>
    <w:rsid w:val="002C784B"/>
    <w:rsid w:val="002D67C7"/>
    <w:rsid w:val="002D749A"/>
    <w:rsid w:val="002E77D5"/>
    <w:rsid w:val="00300ADA"/>
    <w:rsid w:val="00313EC5"/>
    <w:rsid w:val="00317183"/>
    <w:rsid w:val="00333415"/>
    <w:rsid w:val="0034465D"/>
    <w:rsid w:val="003A72DA"/>
    <w:rsid w:val="003B1FC2"/>
    <w:rsid w:val="003B741B"/>
    <w:rsid w:val="003E76F3"/>
    <w:rsid w:val="003F489E"/>
    <w:rsid w:val="00412CC5"/>
    <w:rsid w:val="00420BAC"/>
    <w:rsid w:val="00421509"/>
    <w:rsid w:val="004425DA"/>
    <w:rsid w:val="00473418"/>
    <w:rsid w:val="00474D0F"/>
    <w:rsid w:val="00482E12"/>
    <w:rsid w:val="00491440"/>
    <w:rsid w:val="004A130F"/>
    <w:rsid w:val="004B178D"/>
    <w:rsid w:val="004D4CB5"/>
    <w:rsid w:val="00577908"/>
    <w:rsid w:val="005B17FD"/>
    <w:rsid w:val="005E3932"/>
    <w:rsid w:val="00601E7F"/>
    <w:rsid w:val="006441E9"/>
    <w:rsid w:val="006612EE"/>
    <w:rsid w:val="006774AF"/>
    <w:rsid w:val="00684382"/>
    <w:rsid w:val="006A05B6"/>
    <w:rsid w:val="006A223D"/>
    <w:rsid w:val="006A3DDE"/>
    <w:rsid w:val="006A3E5C"/>
    <w:rsid w:val="006C2EF5"/>
    <w:rsid w:val="006D6FC3"/>
    <w:rsid w:val="006F08AA"/>
    <w:rsid w:val="007067B4"/>
    <w:rsid w:val="00720482"/>
    <w:rsid w:val="00732A5D"/>
    <w:rsid w:val="0073439F"/>
    <w:rsid w:val="00734B53"/>
    <w:rsid w:val="00744661"/>
    <w:rsid w:val="00745B5D"/>
    <w:rsid w:val="007A2C25"/>
    <w:rsid w:val="007A678C"/>
    <w:rsid w:val="007A6F91"/>
    <w:rsid w:val="00807202"/>
    <w:rsid w:val="00857C04"/>
    <w:rsid w:val="00861A7D"/>
    <w:rsid w:val="00871882"/>
    <w:rsid w:val="008947A1"/>
    <w:rsid w:val="008979E3"/>
    <w:rsid w:val="008E3962"/>
    <w:rsid w:val="008F2E0A"/>
    <w:rsid w:val="008F4053"/>
    <w:rsid w:val="009056E6"/>
    <w:rsid w:val="0094310E"/>
    <w:rsid w:val="00953E24"/>
    <w:rsid w:val="009544B0"/>
    <w:rsid w:val="00972E43"/>
    <w:rsid w:val="00981449"/>
    <w:rsid w:val="009A50D9"/>
    <w:rsid w:val="009A573E"/>
    <w:rsid w:val="009D57F9"/>
    <w:rsid w:val="00A269E9"/>
    <w:rsid w:val="00A32D93"/>
    <w:rsid w:val="00A40147"/>
    <w:rsid w:val="00A5098C"/>
    <w:rsid w:val="00A561A8"/>
    <w:rsid w:val="00AB518B"/>
    <w:rsid w:val="00AC4CF7"/>
    <w:rsid w:val="00AD46AC"/>
    <w:rsid w:val="00AF2425"/>
    <w:rsid w:val="00AF5794"/>
    <w:rsid w:val="00B2185C"/>
    <w:rsid w:val="00B31F47"/>
    <w:rsid w:val="00B44DE3"/>
    <w:rsid w:val="00B541CA"/>
    <w:rsid w:val="00B71B46"/>
    <w:rsid w:val="00BA06EE"/>
    <w:rsid w:val="00BC2F1A"/>
    <w:rsid w:val="00BE0AE8"/>
    <w:rsid w:val="00BF178C"/>
    <w:rsid w:val="00C021E1"/>
    <w:rsid w:val="00C267C0"/>
    <w:rsid w:val="00C41593"/>
    <w:rsid w:val="00C47CEC"/>
    <w:rsid w:val="00C70738"/>
    <w:rsid w:val="00CA0BCC"/>
    <w:rsid w:val="00CE5E1F"/>
    <w:rsid w:val="00CF4446"/>
    <w:rsid w:val="00D27F4B"/>
    <w:rsid w:val="00D46482"/>
    <w:rsid w:val="00D47A76"/>
    <w:rsid w:val="00D5209B"/>
    <w:rsid w:val="00D62810"/>
    <w:rsid w:val="00E074C4"/>
    <w:rsid w:val="00E36936"/>
    <w:rsid w:val="00E709B8"/>
    <w:rsid w:val="00E75AE4"/>
    <w:rsid w:val="00E82347"/>
    <w:rsid w:val="00E97828"/>
    <w:rsid w:val="00EA10B5"/>
    <w:rsid w:val="00EE473C"/>
    <w:rsid w:val="00EF5716"/>
    <w:rsid w:val="00F5360D"/>
    <w:rsid w:val="00F65832"/>
    <w:rsid w:val="00F72E11"/>
    <w:rsid w:val="00F779D5"/>
    <w:rsid w:val="00F83404"/>
    <w:rsid w:val="00FA10AE"/>
    <w:rsid w:val="00FB36DD"/>
    <w:rsid w:val="00FC2EDD"/>
    <w:rsid w:val="00FE4AB7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035E"/>
  <w15:docId w15:val="{03F115AD-6352-814F-8F3A-95C88D2F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65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46"/>
  </w:style>
  <w:style w:type="paragraph" w:styleId="Ttulo1">
    <w:name w:val="heading 1"/>
    <w:basedOn w:val="Normal"/>
    <w:next w:val="Normal"/>
    <w:uiPriority w:val="9"/>
    <w:qFormat/>
    <w:rsid w:val="00CF44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F44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F44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F444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F44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F44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F4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F444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CF44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nhideWhenUsed/>
    <w:rsid w:val="000E3EE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E3EED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0E3EE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D67C7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7C7"/>
  </w:style>
  <w:style w:type="paragraph" w:styleId="Rodap">
    <w:name w:val="footer"/>
    <w:basedOn w:val="Normal"/>
    <w:link w:val="RodapChar"/>
    <w:uiPriority w:val="99"/>
    <w:unhideWhenUsed/>
    <w:rsid w:val="002D67C7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7C7"/>
  </w:style>
  <w:style w:type="paragraph" w:styleId="NormalWeb">
    <w:name w:val="Normal (Web)"/>
    <w:basedOn w:val="Normal"/>
    <w:uiPriority w:val="99"/>
    <w:unhideWhenUsed/>
    <w:rsid w:val="00F65832"/>
    <w:pPr>
      <w:spacing w:before="100" w:beforeAutospacing="1" w:after="100" w:afterAutospacing="1" w:line="240" w:lineRule="auto"/>
      <w:ind w:firstLine="0"/>
      <w:jc w:val="left"/>
    </w:pPr>
    <w:rPr>
      <w:lang w:val="pt-PT" w:eastAsia="pt-PT"/>
    </w:rPr>
  </w:style>
  <w:style w:type="paragraph" w:styleId="PargrafodaLista">
    <w:name w:val="List Paragraph"/>
    <w:basedOn w:val="Normal"/>
    <w:uiPriority w:val="34"/>
    <w:qFormat/>
    <w:rsid w:val="00420B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185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185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E3932"/>
    <w:rPr>
      <w:b/>
      <w:bCs/>
    </w:rPr>
  </w:style>
  <w:style w:type="character" w:customStyle="1" w:styleId="apple-converted-space">
    <w:name w:val="apple-converted-space"/>
    <w:basedOn w:val="Fontepargpadro"/>
    <w:rsid w:val="005E3932"/>
  </w:style>
  <w:style w:type="paragraph" w:customStyle="1" w:styleId="RLDEResumen">
    <w:name w:val="RLDE Resumen"/>
    <w:rsid w:val="000711AD"/>
    <w:pPr>
      <w:spacing w:line="240" w:lineRule="auto"/>
      <w:ind w:firstLine="0"/>
    </w:pPr>
    <w:rPr>
      <w:rFonts w:ascii="Garamond" w:eastAsiaTheme="minorHAnsi" w:hAnsi="Garamond" w:cstheme="minorBidi"/>
      <w:sz w:val="20"/>
      <w:szCs w:val="20"/>
      <w:lang w:val="es-ES" w:eastAsia="en-US"/>
    </w:rPr>
  </w:style>
  <w:style w:type="paragraph" w:customStyle="1" w:styleId="RLDETesto">
    <w:name w:val="RLDE Testo"/>
    <w:qFormat/>
    <w:rsid w:val="000711AD"/>
    <w:pPr>
      <w:widowControl w:val="0"/>
      <w:spacing w:line="240" w:lineRule="auto"/>
      <w:ind w:firstLine="0"/>
    </w:pPr>
    <w:rPr>
      <w:rFonts w:ascii="Garamond" w:eastAsiaTheme="minorHAnsi" w:hAnsi="Garamond" w:cstheme="minorBidi"/>
      <w:szCs w:val="22"/>
      <w:lang w:val="es-ES" w:eastAsia="en-US"/>
    </w:rPr>
  </w:style>
  <w:style w:type="paragraph" w:customStyle="1" w:styleId="RLDETitoloparagrafo">
    <w:name w:val="RLDE Titolo paragrafo"/>
    <w:rsid w:val="000711AD"/>
    <w:pPr>
      <w:keepNext/>
      <w:spacing w:line="240" w:lineRule="auto"/>
      <w:ind w:left="425" w:hanging="425"/>
    </w:pPr>
    <w:rPr>
      <w:rFonts w:ascii="Garamond" w:hAnsi="Garamond"/>
      <w:b/>
      <w:bCs/>
      <w:color w:val="CC0000"/>
      <w:szCs w:val="20"/>
      <w:lang w:val="es-ES_tradnl" w:eastAsia="it-IT"/>
    </w:rPr>
  </w:style>
  <w:style w:type="table" w:styleId="Tabelacomgrade">
    <w:name w:val="Table Grid"/>
    <w:basedOn w:val="Tabelanormal"/>
    <w:rsid w:val="000711AD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ETabellatitolo">
    <w:name w:val="RLDE Tabella titolo"/>
    <w:basedOn w:val="Normal"/>
    <w:rsid w:val="000711AD"/>
    <w:pPr>
      <w:keepNext/>
      <w:spacing w:line="240" w:lineRule="auto"/>
      <w:ind w:firstLine="0"/>
    </w:pPr>
    <w:rPr>
      <w:rFonts w:ascii="Century Gothic" w:eastAsiaTheme="minorHAnsi" w:hAnsi="Century Gothic" w:cstheme="minorBidi"/>
      <w:sz w:val="17"/>
      <w:szCs w:val="17"/>
      <w:lang w:val="es-ES" w:eastAsia="en-US"/>
    </w:rPr>
  </w:style>
  <w:style w:type="paragraph" w:customStyle="1" w:styleId="RLDETabellafonte">
    <w:name w:val="RLDE Tabella fonte"/>
    <w:basedOn w:val="RLDETabellatitolo"/>
    <w:rsid w:val="000711AD"/>
    <w:pPr>
      <w:keepNext w:val="0"/>
    </w:pPr>
  </w:style>
  <w:style w:type="paragraph" w:customStyle="1" w:styleId="RLDETabellatesto">
    <w:name w:val="RLDE Tabella testo"/>
    <w:basedOn w:val="RLDETesto"/>
    <w:rsid w:val="000711AD"/>
    <w:rPr>
      <w:rFonts w:ascii="Century Gothic" w:hAnsi="Century Gothic"/>
      <w:sz w:val="17"/>
      <w:szCs w:val="17"/>
    </w:rPr>
  </w:style>
  <w:style w:type="paragraph" w:customStyle="1" w:styleId="RLDEInfratesto">
    <w:name w:val="RLDE Infratesto"/>
    <w:basedOn w:val="Normal"/>
    <w:rsid w:val="000711AD"/>
    <w:pPr>
      <w:widowControl w:val="0"/>
      <w:spacing w:line="240" w:lineRule="auto"/>
      <w:ind w:left="284" w:right="281" w:firstLine="0"/>
    </w:pPr>
    <w:rPr>
      <w:rFonts w:ascii="Garamond" w:eastAsiaTheme="minorHAnsi" w:hAnsi="Garamond" w:cstheme="minorBid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7D15-13C3-9C4C-8230-2D2482E9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Talita Cardim</cp:lastModifiedBy>
  <cp:revision>6</cp:revision>
  <dcterms:created xsi:type="dcterms:W3CDTF">2020-09-18T14:28:00Z</dcterms:created>
  <dcterms:modified xsi:type="dcterms:W3CDTF">2021-09-16T09:13:00Z</dcterms:modified>
</cp:coreProperties>
</file>